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270" w:rsidRPr="00076349" w:rsidRDefault="00E62270" w:rsidP="00E33E05">
      <w:pPr>
        <w:spacing w:after="0" w:line="240" w:lineRule="auto"/>
        <w:jc w:val="center"/>
        <w:rPr>
          <w:rFonts w:ascii="Arial" w:hAnsi="Arial" w:cs="Arial"/>
          <w:b/>
          <w:sz w:val="24"/>
          <w:szCs w:val="24"/>
          <w:lang w:val="en-US"/>
        </w:rPr>
      </w:pPr>
      <w:r w:rsidRPr="00076349">
        <w:rPr>
          <w:rFonts w:ascii="Arial" w:hAnsi="Arial" w:cs="Arial"/>
          <w:b/>
          <w:sz w:val="24"/>
          <w:szCs w:val="24"/>
          <w:lang w:val="en-US"/>
        </w:rPr>
        <w:t>Revista Cubana de Anestesiología y Reanimación 319_p2</w:t>
      </w:r>
    </w:p>
    <w:p w:rsidR="00E62270" w:rsidRPr="00076349" w:rsidRDefault="00E62270" w:rsidP="00A0284A">
      <w:pPr>
        <w:spacing w:after="0" w:line="240" w:lineRule="auto"/>
        <w:jc w:val="both"/>
        <w:rPr>
          <w:rFonts w:ascii="Arial" w:hAnsi="Arial" w:cs="Arial"/>
          <w:sz w:val="24"/>
          <w:szCs w:val="24"/>
          <w:lang w:val="en-US"/>
        </w:rPr>
      </w:pPr>
    </w:p>
    <w:p w:rsidR="00D21312" w:rsidRPr="00076349" w:rsidRDefault="00D21312" w:rsidP="00E33E05">
      <w:pPr>
        <w:pStyle w:val="Textosinformato"/>
        <w:jc w:val="both"/>
        <w:rPr>
          <w:rFonts w:ascii="Arial" w:hAnsi="Arial" w:cs="Arial"/>
          <w:b/>
          <w:sz w:val="24"/>
          <w:szCs w:val="24"/>
        </w:rPr>
      </w:pPr>
      <w:r w:rsidRPr="00076349">
        <w:rPr>
          <w:rFonts w:ascii="Arial" w:hAnsi="Arial" w:cs="Arial"/>
          <w:b/>
          <w:sz w:val="24"/>
          <w:szCs w:val="24"/>
        </w:rPr>
        <w:t>Efficacy of Lateral Popliteal Block</w:t>
      </w:r>
    </w:p>
    <w:p w:rsidR="00D21312" w:rsidRPr="00076349" w:rsidRDefault="00D21312" w:rsidP="00E33E05">
      <w:pPr>
        <w:pStyle w:val="Textosinformato"/>
        <w:jc w:val="both"/>
        <w:rPr>
          <w:rFonts w:ascii="Arial" w:hAnsi="Arial" w:cs="Arial"/>
          <w:b/>
          <w:sz w:val="24"/>
          <w:szCs w:val="24"/>
        </w:rPr>
      </w:pPr>
    </w:p>
    <w:p w:rsidR="00D21312" w:rsidRPr="00076349" w:rsidRDefault="00D21312" w:rsidP="00E33E05">
      <w:pPr>
        <w:pStyle w:val="Textosinformato"/>
        <w:jc w:val="both"/>
        <w:rPr>
          <w:rFonts w:ascii="Arial" w:hAnsi="Arial" w:cs="Arial"/>
          <w:b/>
          <w:sz w:val="24"/>
          <w:szCs w:val="24"/>
        </w:rPr>
      </w:pPr>
      <w:r w:rsidRPr="00076349">
        <w:rPr>
          <w:rFonts w:ascii="Arial" w:hAnsi="Arial" w:cs="Arial"/>
          <w:b/>
          <w:sz w:val="24"/>
          <w:szCs w:val="24"/>
        </w:rPr>
        <w:t>Abstract</w:t>
      </w:r>
    </w:p>
    <w:p w:rsidR="00D21312" w:rsidRPr="00076349" w:rsidRDefault="00D21312" w:rsidP="00E33E05">
      <w:pPr>
        <w:pStyle w:val="Textosinformato"/>
        <w:jc w:val="both"/>
        <w:rPr>
          <w:rFonts w:ascii="Arial" w:hAnsi="Arial" w:cs="Arial"/>
          <w:b/>
          <w:sz w:val="24"/>
          <w:szCs w:val="24"/>
        </w:rPr>
      </w:pPr>
    </w:p>
    <w:p w:rsidR="00CA4F29" w:rsidRPr="00076349" w:rsidRDefault="00E33E05" w:rsidP="00E33E05">
      <w:pPr>
        <w:pStyle w:val="Textosinformato"/>
        <w:jc w:val="both"/>
        <w:rPr>
          <w:rFonts w:ascii="Arial" w:hAnsi="Arial" w:cs="Arial"/>
          <w:sz w:val="24"/>
          <w:szCs w:val="24"/>
        </w:rPr>
      </w:pPr>
      <w:r w:rsidRPr="00076349">
        <w:rPr>
          <w:rFonts w:ascii="Arial" w:hAnsi="Arial" w:cs="Arial"/>
          <w:b/>
          <w:sz w:val="24"/>
          <w:szCs w:val="24"/>
        </w:rPr>
        <w:t>Introduction</w:t>
      </w:r>
      <w:r w:rsidRPr="00076349">
        <w:rPr>
          <w:rFonts w:ascii="Arial" w:hAnsi="Arial" w:cs="Arial"/>
          <w:sz w:val="24"/>
          <w:szCs w:val="24"/>
        </w:rPr>
        <w:t xml:space="preserve">: Peripheral nerve blocks are an accepted component in medical practice from the surgical area, chronic pain control and </w:t>
      </w:r>
      <w:r w:rsidR="00CA4F29" w:rsidRPr="00076349">
        <w:rPr>
          <w:rFonts w:ascii="Arial" w:hAnsi="Arial" w:cs="Arial"/>
          <w:sz w:val="24"/>
          <w:szCs w:val="24"/>
        </w:rPr>
        <w:t xml:space="preserve">the </w:t>
      </w:r>
      <w:r w:rsidRPr="00076349">
        <w:rPr>
          <w:rFonts w:ascii="Arial" w:hAnsi="Arial" w:cs="Arial"/>
          <w:sz w:val="24"/>
          <w:szCs w:val="24"/>
        </w:rPr>
        <w:t>postoperative</w:t>
      </w:r>
      <w:r w:rsidR="00CA4F29" w:rsidRPr="00076349">
        <w:rPr>
          <w:rFonts w:ascii="Arial" w:hAnsi="Arial" w:cs="Arial"/>
          <w:sz w:val="24"/>
          <w:szCs w:val="24"/>
        </w:rPr>
        <w:t xml:space="preserve"> period</w:t>
      </w:r>
      <w:r w:rsidRPr="00076349">
        <w:rPr>
          <w:rFonts w:ascii="Arial" w:hAnsi="Arial" w:cs="Arial"/>
          <w:sz w:val="24"/>
          <w:szCs w:val="24"/>
        </w:rPr>
        <w:t>.</w:t>
      </w:r>
    </w:p>
    <w:p w:rsidR="00E33E05" w:rsidRPr="00076349" w:rsidRDefault="00E33E05" w:rsidP="00E33E05">
      <w:pPr>
        <w:pStyle w:val="Textosinformato"/>
        <w:jc w:val="both"/>
        <w:rPr>
          <w:rFonts w:ascii="Arial" w:hAnsi="Arial" w:cs="Arial"/>
          <w:sz w:val="24"/>
          <w:szCs w:val="24"/>
        </w:rPr>
      </w:pPr>
      <w:r w:rsidRPr="00076349">
        <w:rPr>
          <w:rFonts w:ascii="Arial" w:hAnsi="Arial" w:cs="Arial"/>
          <w:b/>
          <w:sz w:val="24"/>
          <w:szCs w:val="24"/>
        </w:rPr>
        <w:t>Objective</w:t>
      </w:r>
      <w:r w:rsidRPr="00076349">
        <w:rPr>
          <w:rFonts w:ascii="Arial" w:hAnsi="Arial" w:cs="Arial"/>
          <w:sz w:val="24"/>
          <w:szCs w:val="24"/>
        </w:rPr>
        <w:t>: To evaluate the efficacy of popliteal blockade laterally in patients undergoing surgery for foot and ankle conditions.</w:t>
      </w:r>
    </w:p>
    <w:p w:rsidR="00E33E05" w:rsidRPr="00076349" w:rsidRDefault="00E33E05" w:rsidP="00E33E05">
      <w:pPr>
        <w:pStyle w:val="Textosinformato"/>
        <w:jc w:val="both"/>
        <w:rPr>
          <w:rFonts w:ascii="Arial" w:hAnsi="Arial" w:cs="Arial"/>
          <w:sz w:val="24"/>
          <w:szCs w:val="24"/>
        </w:rPr>
      </w:pPr>
      <w:r w:rsidRPr="00076349">
        <w:rPr>
          <w:rFonts w:ascii="Arial" w:hAnsi="Arial" w:cs="Arial"/>
          <w:b/>
          <w:sz w:val="24"/>
          <w:szCs w:val="24"/>
        </w:rPr>
        <w:t>Methods</w:t>
      </w:r>
      <w:r w:rsidRPr="00076349">
        <w:rPr>
          <w:rFonts w:ascii="Arial" w:hAnsi="Arial" w:cs="Arial"/>
          <w:sz w:val="24"/>
          <w:szCs w:val="24"/>
        </w:rPr>
        <w:t>: A cross-sectional</w:t>
      </w:r>
      <w:r w:rsidR="00CA4F29" w:rsidRPr="00076349">
        <w:rPr>
          <w:rFonts w:ascii="Arial" w:hAnsi="Arial" w:cs="Arial"/>
          <w:sz w:val="24"/>
          <w:szCs w:val="24"/>
        </w:rPr>
        <w:t xml:space="preserve"> and</w:t>
      </w:r>
      <w:r w:rsidRPr="00076349">
        <w:rPr>
          <w:rFonts w:ascii="Arial" w:hAnsi="Arial" w:cs="Arial"/>
          <w:sz w:val="24"/>
          <w:szCs w:val="24"/>
        </w:rPr>
        <w:t xml:space="preserve"> analytical study was </w:t>
      </w:r>
      <w:r w:rsidR="00CA4F29" w:rsidRPr="00076349">
        <w:rPr>
          <w:rFonts w:ascii="Arial" w:hAnsi="Arial" w:cs="Arial"/>
          <w:sz w:val="24"/>
          <w:szCs w:val="24"/>
        </w:rPr>
        <w:t>carried out</w:t>
      </w:r>
      <w:r w:rsidRPr="00076349">
        <w:rPr>
          <w:rFonts w:ascii="Arial" w:hAnsi="Arial" w:cs="Arial"/>
          <w:sz w:val="24"/>
          <w:szCs w:val="24"/>
        </w:rPr>
        <w:t xml:space="preserve"> </w:t>
      </w:r>
      <w:r w:rsidR="002A1A6B" w:rsidRPr="00076349">
        <w:rPr>
          <w:rFonts w:ascii="Arial" w:hAnsi="Arial" w:cs="Arial"/>
          <w:sz w:val="24"/>
          <w:szCs w:val="24"/>
        </w:rPr>
        <w:t>with</w:t>
      </w:r>
      <w:r w:rsidRPr="00076349">
        <w:rPr>
          <w:rFonts w:ascii="Arial" w:hAnsi="Arial" w:cs="Arial"/>
          <w:sz w:val="24"/>
          <w:szCs w:val="24"/>
        </w:rPr>
        <w:t xml:space="preserve"> patients operated on for foot and ankle conditions in the period from September 2015 to September 2018. The </w:t>
      </w:r>
      <w:r w:rsidR="002A1A6B" w:rsidRPr="00076349">
        <w:rPr>
          <w:rFonts w:ascii="Arial" w:hAnsi="Arial" w:cs="Arial"/>
          <w:sz w:val="24"/>
          <w:szCs w:val="24"/>
        </w:rPr>
        <w:t>study population</w:t>
      </w:r>
      <w:r w:rsidRPr="00076349">
        <w:rPr>
          <w:rFonts w:ascii="Arial" w:hAnsi="Arial" w:cs="Arial"/>
          <w:sz w:val="24"/>
          <w:szCs w:val="24"/>
        </w:rPr>
        <w:t xml:space="preserve"> was </w:t>
      </w:r>
      <w:r w:rsidR="002A1A6B" w:rsidRPr="00076349">
        <w:rPr>
          <w:rFonts w:ascii="Arial" w:hAnsi="Arial" w:cs="Arial"/>
          <w:sz w:val="24"/>
          <w:szCs w:val="24"/>
        </w:rPr>
        <w:t>made up</w:t>
      </w:r>
      <w:r w:rsidRPr="00076349">
        <w:rPr>
          <w:rFonts w:ascii="Arial" w:hAnsi="Arial" w:cs="Arial"/>
          <w:sz w:val="24"/>
          <w:szCs w:val="24"/>
        </w:rPr>
        <w:t xml:space="preserve"> </w:t>
      </w:r>
      <w:r w:rsidR="002A1A6B" w:rsidRPr="00076349">
        <w:rPr>
          <w:rFonts w:ascii="Arial" w:hAnsi="Arial" w:cs="Arial"/>
          <w:sz w:val="24"/>
          <w:szCs w:val="24"/>
        </w:rPr>
        <w:t>by</w:t>
      </w:r>
      <w:r w:rsidRPr="00076349">
        <w:rPr>
          <w:rFonts w:ascii="Arial" w:hAnsi="Arial" w:cs="Arial"/>
          <w:sz w:val="24"/>
          <w:szCs w:val="24"/>
        </w:rPr>
        <w:t xml:space="preserve"> 431 patients</w:t>
      </w:r>
      <w:r w:rsidR="002A1A6B" w:rsidRPr="00076349">
        <w:rPr>
          <w:rFonts w:ascii="Arial" w:hAnsi="Arial" w:cs="Arial"/>
          <w:sz w:val="24"/>
          <w:szCs w:val="24"/>
        </w:rPr>
        <w:t>,</w:t>
      </w:r>
      <w:r w:rsidRPr="00076349">
        <w:rPr>
          <w:rFonts w:ascii="Arial" w:hAnsi="Arial" w:cs="Arial"/>
          <w:sz w:val="24"/>
          <w:szCs w:val="24"/>
        </w:rPr>
        <w:t xml:space="preserve"> and the sample</w:t>
      </w:r>
      <w:r w:rsidR="002A1A6B" w:rsidRPr="00076349">
        <w:rPr>
          <w:rFonts w:ascii="Arial" w:hAnsi="Arial" w:cs="Arial"/>
          <w:sz w:val="24"/>
          <w:szCs w:val="24"/>
        </w:rPr>
        <w:t xml:space="preserve"> was</w:t>
      </w:r>
      <w:r w:rsidRPr="00076349">
        <w:rPr>
          <w:rFonts w:ascii="Arial" w:hAnsi="Arial" w:cs="Arial"/>
          <w:sz w:val="24"/>
          <w:szCs w:val="24"/>
        </w:rPr>
        <w:t xml:space="preserve"> 209.</w:t>
      </w:r>
    </w:p>
    <w:p w:rsidR="00E33E05" w:rsidRPr="00076349" w:rsidRDefault="00E33E05" w:rsidP="00E33E05">
      <w:pPr>
        <w:pStyle w:val="Textosinformato"/>
        <w:jc w:val="both"/>
        <w:rPr>
          <w:rFonts w:ascii="Arial" w:hAnsi="Arial" w:cs="Arial"/>
          <w:sz w:val="24"/>
          <w:szCs w:val="24"/>
        </w:rPr>
      </w:pPr>
      <w:r w:rsidRPr="00076349">
        <w:rPr>
          <w:rFonts w:ascii="Arial" w:hAnsi="Arial" w:cs="Arial"/>
          <w:b/>
          <w:sz w:val="24"/>
          <w:szCs w:val="24"/>
        </w:rPr>
        <w:t>Results</w:t>
      </w:r>
      <w:r w:rsidRPr="00076349">
        <w:rPr>
          <w:rFonts w:ascii="Arial" w:hAnsi="Arial" w:cs="Arial"/>
          <w:sz w:val="24"/>
          <w:szCs w:val="24"/>
        </w:rPr>
        <w:t>: More than three quarters of the patients operated</w:t>
      </w:r>
      <w:r w:rsidR="002A1A6B" w:rsidRPr="00076349">
        <w:rPr>
          <w:rFonts w:ascii="Arial" w:hAnsi="Arial" w:cs="Arial"/>
          <w:sz w:val="24"/>
          <w:szCs w:val="24"/>
        </w:rPr>
        <w:t xml:space="preserve"> on</w:t>
      </w:r>
      <w:r w:rsidRPr="00076349">
        <w:rPr>
          <w:rFonts w:ascii="Arial" w:hAnsi="Arial" w:cs="Arial"/>
          <w:sz w:val="24"/>
          <w:szCs w:val="24"/>
        </w:rPr>
        <w:t xml:space="preserve"> for foot and ankle conditions </w:t>
      </w:r>
      <w:r w:rsidR="002A1A6B" w:rsidRPr="00076349">
        <w:rPr>
          <w:rFonts w:ascii="Arial" w:hAnsi="Arial" w:cs="Arial"/>
          <w:sz w:val="24"/>
          <w:szCs w:val="24"/>
        </w:rPr>
        <w:t xml:space="preserve">and </w:t>
      </w:r>
      <w:r w:rsidRPr="00076349">
        <w:rPr>
          <w:rFonts w:ascii="Arial" w:hAnsi="Arial" w:cs="Arial"/>
          <w:sz w:val="24"/>
          <w:szCs w:val="24"/>
        </w:rPr>
        <w:t xml:space="preserve">to which the blockage is applied are above the fifth decade of life. Most of them </w:t>
      </w:r>
      <w:r w:rsidR="002A1A6B" w:rsidRPr="00076349">
        <w:rPr>
          <w:rFonts w:ascii="Arial" w:hAnsi="Arial" w:cs="Arial"/>
          <w:sz w:val="24"/>
          <w:szCs w:val="24"/>
        </w:rPr>
        <w:t>correspond to the range 51-</w:t>
      </w:r>
      <w:r w:rsidRPr="00076349">
        <w:rPr>
          <w:rFonts w:ascii="Arial" w:hAnsi="Arial" w:cs="Arial"/>
          <w:sz w:val="24"/>
          <w:szCs w:val="24"/>
        </w:rPr>
        <w:t xml:space="preserve">70 kg, with four to six </w:t>
      </w:r>
      <w:r w:rsidR="002A1A6B" w:rsidRPr="00076349">
        <w:rPr>
          <w:rFonts w:ascii="Arial" w:hAnsi="Arial" w:cs="Arial"/>
          <w:sz w:val="24"/>
          <w:szCs w:val="24"/>
        </w:rPr>
        <w:t>centimeters</w:t>
      </w:r>
      <w:r w:rsidRPr="00076349">
        <w:rPr>
          <w:rFonts w:ascii="Arial" w:hAnsi="Arial" w:cs="Arial"/>
          <w:sz w:val="24"/>
          <w:szCs w:val="24"/>
        </w:rPr>
        <w:t xml:space="preserve"> of needle depth for the location of the nerve based on the equation of the line. It is 19 times more likely in them the absence of pain </w:t>
      </w:r>
      <w:r w:rsidR="00D21312" w:rsidRPr="00076349">
        <w:rPr>
          <w:rFonts w:ascii="Arial" w:hAnsi="Arial" w:cs="Arial"/>
          <w:sz w:val="24"/>
          <w:szCs w:val="24"/>
        </w:rPr>
        <w:t>at the</w:t>
      </w:r>
      <w:r w:rsidRPr="00076349">
        <w:rPr>
          <w:rFonts w:ascii="Arial" w:hAnsi="Arial" w:cs="Arial"/>
          <w:sz w:val="24"/>
          <w:szCs w:val="24"/>
        </w:rPr>
        <w:t xml:space="preserve"> first six hours </w:t>
      </w:r>
      <w:r w:rsidR="00D21312" w:rsidRPr="00076349">
        <w:rPr>
          <w:rFonts w:ascii="Arial" w:hAnsi="Arial" w:cs="Arial"/>
          <w:sz w:val="24"/>
          <w:szCs w:val="24"/>
        </w:rPr>
        <w:t>of</w:t>
      </w:r>
      <w:r w:rsidRPr="00076349">
        <w:rPr>
          <w:rFonts w:ascii="Arial" w:hAnsi="Arial" w:cs="Arial"/>
          <w:sz w:val="24"/>
          <w:szCs w:val="24"/>
        </w:rPr>
        <w:t xml:space="preserve"> the postoperative period after the blockage and more likely the success of the proposed technique with the determination of the depth in </w:t>
      </w:r>
      <w:r w:rsidR="00D21312" w:rsidRPr="00076349">
        <w:rPr>
          <w:rFonts w:ascii="Arial" w:hAnsi="Arial" w:cs="Arial"/>
          <w:sz w:val="24"/>
          <w:szCs w:val="24"/>
        </w:rPr>
        <w:t>centimeters</w:t>
      </w:r>
      <w:r w:rsidRPr="00076349">
        <w:rPr>
          <w:rFonts w:ascii="Arial" w:hAnsi="Arial" w:cs="Arial"/>
          <w:sz w:val="24"/>
          <w:szCs w:val="24"/>
        </w:rPr>
        <w:t xml:space="preserve"> of the needle based on the equation of the line, with odds ratio of 31.</w:t>
      </w:r>
    </w:p>
    <w:p w:rsidR="00E33E05" w:rsidRPr="00076349" w:rsidRDefault="00E33E05" w:rsidP="00E33E05">
      <w:pPr>
        <w:pStyle w:val="Textosinformato"/>
        <w:jc w:val="both"/>
        <w:rPr>
          <w:rFonts w:ascii="Arial" w:hAnsi="Arial" w:cs="Arial"/>
          <w:sz w:val="24"/>
          <w:szCs w:val="24"/>
        </w:rPr>
      </w:pPr>
      <w:r w:rsidRPr="00076349">
        <w:rPr>
          <w:rFonts w:ascii="Arial" w:hAnsi="Arial" w:cs="Arial"/>
          <w:b/>
          <w:sz w:val="24"/>
          <w:szCs w:val="24"/>
        </w:rPr>
        <w:t>Conclusions</w:t>
      </w:r>
      <w:r w:rsidRPr="00076349">
        <w:rPr>
          <w:rFonts w:ascii="Arial" w:hAnsi="Arial" w:cs="Arial"/>
          <w:sz w:val="24"/>
          <w:szCs w:val="24"/>
        </w:rPr>
        <w:t>: The lateral popliteal block was evaluated as effective in the majority of patients undergoing surgery for foot and ankle conditions.</w:t>
      </w:r>
    </w:p>
    <w:p w:rsidR="00D21312" w:rsidRPr="00076349" w:rsidRDefault="00D21312" w:rsidP="00E33E05">
      <w:pPr>
        <w:pStyle w:val="Textosinformato"/>
        <w:jc w:val="both"/>
        <w:rPr>
          <w:rFonts w:ascii="Arial" w:hAnsi="Arial" w:cs="Arial"/>
          <w:sz w:val="24"/>
          <w:szCs w:val="24"/>
        </w:rPr>
      </w:pPr>
    </w:p>
    <w:p w:rsidR="00E62270" w:rsidRPr="00076349" w:rsidRDefault="00D21312" w:rsidP="00D21312">
      <w:pPr>
        <w:pStyle w:val="Textosinformato"/>
        <w:jc w:val="both"/>
        <w:rPr>
          <w:rFonts w:ascii="Arial" w:hAnsi="Arial" w:cs="Arial"/>
          <w:b/>
          <w:sz w:val="24"/>
          <w:szCs w:val="24"/>
        </w:rPr>
      </w:pPr>
      <w:r w:rsidRPr="00076349">
        <w:rPr>
          <w:rFonts w:ascii="Arial" w:hAnsi="Arial" w:cs="Arial"/>
          <w:b/>
          <w:sz w:val="24"/>
          <w:szCs w:val="24"/>
        </w:rPr>
        <w:t>Keywords</w:t>
      </w:r>
      <w:r w:rsidRPr="00076349">
        <w:rPr>
          <w:rFonts w:ascii="Arial" w:hAnsi="Arial" w:cs="Arial"/>
          <w:sz w:val="24"/>
          <w:szCs w:val="24"/>
        </w:rPr>
        <w:t xml:space="preserve">: surgical analgesia; </w:t>
      </w:r>
      <w:r w:rsidRPr="00076349">
        <w:rPr>
          <w:rFonts w:ascii="Arial" w:hAnsi="Arial" w:cs="Arial"/>
          <w:sz w:val="24"/>
          <w:szCs w:val="24"/>
        </w:rPr>
        <w:t>lateral popliteal block</w:t>
      </w:r>
      <w:r w:rsidRPr="00076349">
        <w:rPr>
          <w:rFonts w:ascii="Arial" w:hAnsi="Arial" w:cs="Arial"/>
          <w:sz w:val="24"/>
          <w:szCs w:val="24"/>
        </w:rPr>
        <w:t>; equation of the line; sciatic nerve.</w:t>
      </w:r>
    </w:p>
    <w:p w:rsidR="00E62270" w:rsidRPr="00076349" w:rsidRDefault="00E62270" w:rsidP="00A0284A">
      <w:pPr>
        <w:pStyle w:val="Textosinformato"/>
        <w:jc w:val="both"/>
        <w:rPr>
          <w:rFonts w:ascii="Arial" w:hAnsi="Arial" w:cs="Arial"/>
          <w:sz w:val="24"/>
          <w:szCs w:val="24"/>
        </w:rPr>
      </w:pPr>
    </w:p>
    <w:p w:rsidR="00E62270" w:rsidRPr="00076349" w:rsidRDefault="00E62270" w:rsidP="00A0284A">
      <w:pPr>
        <w:pStyle w:val="Textosinformato"/>
        <w:jc w:val="both"/>
        <w:rPr>
          <w:rFonts w:ascii="Arial" w:hAnsi="Arial" w:cs="Arial"/>
          <w:b/>
          <w:sz w:val="24"/>
          <w:szCs w:val="24"/>
        </w:rPr>
      </w:pPr>
      <w:r w:rsidRPr="00076349">
        <w:rPr>
          <w:rFonts w:ascii="Arial" w:hAnsi="Arial" w:cs="Arial"/>
          <w:b/>
          <w:sz w:val="24"/>
          <w:szCs w:val="24"/>
        </w:rPr>
        <w:t>Referencias bibliográficas</w:t>
      </w:r>
    </w:p>
    <w:p w:rsidR="00E62270" w:rsidRPr="00076349" w:rsidRDefault="00E62270" w:rsidP="00A0284A">
      <w:pPr>
        <w:pStyle w:val="Textosinformato"/>
        <w:jc w:val="both"/>
        <w:rPr>
          <w:rFonts w:ascii="Arial" w:hAnsi="Arial" w:cs="Arial"/>
          <w:sz w:val="24"/>
          <w:szCs w:val="24"/>
        </w:rPr>
      </w:pPr>
    </w:p>
    <w:p w:rsidR="00E62270" w:rsidRPr="00076349" w:rsidRDefault="00E62270" w:rsidP="00A0284A">
      <w:pPr>
        <w:pStyle w:val="Textosinformato"/>
        <w:jc w:val="both"/>
        <w:rPr>
          <w:rFonts w:ascii="Arial" w:hAnsi="Arial" w:cs="Arial"/>
          <w:sz w:val="24"/>
          <w:szCs w:val="24"/>
        </w:rPr>
      </w:pPr>
      <w:r w:rsidRPr="00076349">
        <w:rPr>
          <w:rFonts w:ascii="Arial" w:hAnsi="Arial" w:cs="Arial"/>
          <w:sz w:val="24"/>
          <w:szCs w:val="24"/>
        </w:rPr>
        <w:t xml:space="preserve">1. Techasuk W, Bernucci F, Cupido T, González AP, Correa JA, Finlayson RJ, et al. Minimum effective volume of combined lidocaine-bupivacaine for analgesic subparaneural popliteal sciatic nerve block. Reg Anesth Pain Med. 2014[acceso 12/12/2017];39(2):108-11. Disponible en:  </w:t>
      </w:r>
    </w:p>
    <w:p w:rsidR="00E62270" w:rsidRPr="00076349" w:rsidRDefault="00E62270" w:rsidP="00A0284A">
      <w:pPr>
        <w:pStyle w:val="Textosinformato"/>
        <w:jc w:val="both"/>
        <w:rPr>
          <w:rFonts w:ascii="Arial" w:hAnsi="Arial" w:cs="Arial"/>
          <w:sz w:val="24"/>
          <w:szCs w:val="24"/>
        </w:rPr>
      </w:pPr>
      <w:hyperlink r:id="rId4" w:history="1">
        <w:r w:rsidRPr="00076349">
          <w:rPr>
            <w:rStyle w:val="Hipervnculo"/>
            <w:rFonts w:ascii="Arial" w:hAnsi="Arial" w:cs="Arial"/>
            <w:sz w:val="24"/>
            <w:szCs w:val="24"/>
          </w:rPr>
          <w:t>https://rapm.bmj.com/content/39/2/108</w:t>
        </w:r>
      </w:hyperlink>
    </w:p>
    <w:p w:rsidR="00E62270" w:rsidRPr="00076349" w:rsidRDefault="00E62270" w:rsidP="00A0284A">
      <w:pPr>
        <w:pStyle w:val="Textosinformato"/>
        <w:jc w:val="both"/>
        <w:rPr>
          <w:rFonts w:ascii="Arial" w:hAnsi="Arial" w:cs="Arial"/>
          <w:sz w:val="24"/>
          <w:szCs w:val="24"/>
        </w:rPr>
      </w:pPr>
      <w:r w:rsidRPr="00076349">
        <w:rPr>
          <w:rFonts w:ascii="Arial" w:hAnsi="Arial" w:cs="Arial"/>
          <w:sz w:val="24"/>
          <w:szCs w:val="24"/>
        </w:rPr>
        <w:t xml:space="preserve">2. Schiarite L, Calvo M, Maggi G, Abad A, Gilsanz F. Ubicación del nervio ciático a nivel del hueco poplíteo en la población adulta:  </w:t>
      </w:r>
    </w:p>
    <w:p w:rsidR="00E62270" w:rsidRPr="00076349" w:rsidRDefault="00E62270" w:rsidP="00A0284A">
      <w:pPr>
        <w:pStyle w:val="Textosinformato"/>
        <w:jc w:val="both"/>
        <w:rPr>
          <w:rFonts w:ascii="Arial" w:hAnsi="Arial" w:cs="Arial"/>
          <w:sz w:val="24"/>
          <w:szCs w:val="24"/>
        </w:rPr>
      </w:pPr>
      <w:r w:rsidRPr="00076349">
        <w:rPr>
          <w:rFonts w:ascii="Arial" w:hAnsi="Arial" w:cs="Arial"/>
          <w:sz w:val="24"/>
          <w:szCs w:val="24"/>
        </w:rPr>
        <w:t>relación con género y datos antropométricos estudiados. Implicaciones para la práctica diaria. Revista Española de Anestesiología y Reanimación. 2015 [acceso 12/12/2017];62(10):565-69.</w:t>
      </w:r>
    </w:p>
    <w:p w:rsidR="00E62270" w:rsidRPr="00076349" w:rsidRDefault="00E62270" w:rsidP="00A0284A">
      <w:pPr>
        <w:pStyle w:val="Textosinformato"/>
        <w:jc w:val="both"/>
        <w:rPr>
          <w:rFonts w:ascii="Arial" w:hAnsi="Arial" w:cs="Arial"/>
          <w:sz w:val="24"/>
          <w:szCs w:val="24"/>
        </w:rPr>
      </w:pPr>
      <w:r w:rsidRPr="00076349">
        <w:rPr>
          <w:rFonts w:ascii="Arial" w:hAnsi="Arial" w:cs="Arial"/>
          <w:sz w:val="24"/>
          <w:szCs w:val="24"/>
        </w:rPr>
        <w:t>3. García Casalía A, Gay Larese S, Moreno M, Carradori G, Cacheiro F, Lassalle P, et al. Bloqueo del Nervio Ciático en el Hueco Poplíteo. I Curso-Taller Internacional. Nov 2017. [acceso 12/12/2017]. Disponible</w:t>
      </w:r>
    </w:p>
    <w:p w:rsidR="00E62270" w:rsidRPr="00076349" w:rsidRDefault="00E62270" w:rsidP="00A0284A">
      <w:pPr>
        <w:pStyle w:val="Textosinformato"/>
        <w:jc w:val="both"/>
        <w:rPr>
          <w:rFonts w:ascii="Arial" w:hAnsi="Arial" w:cs="Arial"/>
          <w:sz w:val="24"/>
          <w:szCs w:val="24"/>
        </w:rPr>
      </w:pPr>
      <w:r w:rsidRPr="00076349">
        <w:rPr>
          <w:rFonts w:ascii="Arial" w:hAnsi="Arial" w:cs="Arial"/>
          <w:sz w:val="24"/>
          <w:szCs w:val="24"/>
        </w:rPr>
        <w:t xml:space="preserve">en:  </w:t>
      </w:r>
    </w:p>
    <w:p w:rsidR="00E62270" w:rsidRPr="00076349" w:rsidRDefault="00E54816" w:rsidP="00A0284A">
      <w:pPr>
        <w:pStyle w:val="Textosinformato"/>
        <w:jc w:val="both"/>
        <w:rPr>
          <w:rFonts w:ascii="Arial" w:hAnsi="Arial" w:cs="Arial"/>
          <w:sz w:val="24"/>
          <w:szCs w:val="24"/>
        </w:rPr>
      </w:pPr>
      <w:hyperlink r:id="rId5" w:history="1">
        <w:r w:rsidR="00E62270" w:rsidRPr="00076349">
          <w:rPr>
            <w:rStyle w:val="Hipervnculo"/>
            <w:rFonts w:ascii="Arial" w:hAnsi="Arial" w:cs="Arial"/>
            <w:sz w:val="24"/>
            <w:szCs w:val="24"/>
          </w:rPr>
          <w:t>http://anestesiaregionalargentina.com/web3/index.php/tecnicas/miembro-inferior/180-bloqueo-del-nervio-ciatico-en-el-hueco-popliteo</w:t>
        </w:r>
      </w:hyperlink>
    </w:p>
    <w:p w:rsidR="00E62270" w:rsidRPr="00076349" w:rsidRDefault="00E62270" w:rsidP="00A0284A">
      <w:pPr>
        <w:pStyle w:val="Textosinformato"/>
        <w:jc w:val="both"/>
        <w:rPr>
          <w:rFonts w:ascii="Arial" w:hAnsi="Arial" w:cs="Arial"/>
          <w:sz w:val="24"/>
          <w:szCs w:val="24"/>
        </w:rPr>
      </w:pPr>
      <w:r w:rsidRPr="00076349">
        <w:rPr>
          <w:rFonts w:ascii="Arial" w:hAnsi="Arial" w:cs="Arial"/>
          <w:sz w:val="24"/>
          <w:szCs w:val="24"/>
        </w:rPr>
        <w:lastRenderedPageBreak/>
        <w:t>4. Minville V, Zegerman T, Hermant N, Eychenne B, Otal B.A modified lateral approach to the sciatic nerve:</w:t>
      </w:r>
      <w:r w:rsidR="00076349">
        <w:rPr>
          <w:rFonts w:ascii="Arial" w:hAnsi="Arial" w:cs="Arial"/>
          <w:sz w:val="24"/>
          <w:szCs w:val="24"/>
        </w:rPr>
        <w:t xml:space="preserve">  </w:t>
      </w:r>
      <w:r w:rsidRPr="00076349">
        <w:rPr>
          <w:rFonts w:ascii="Arial" w:hAnsi="Arial" w:cs="Arial"/>
          <w:sz w:val="24"/>
          <w:szCs w:val="24"/>
        </w:rPr>
        <w:t xml:space="preserve">magnetic resonance imaging simulation and clinical study. Regional Anaesthesia and Pain Medicine.  </w:t>
      </w:r>
    </w:p>
    <w:p w:rsidR="00E62270" w:rsidRPr="00076349" w:rsidRDefault="00E62270" w:rsidP="00A0284A">
      <w:pPr>
        <w:pStyle w:val="Textosinformato"/>
        <w:jc w:val="both"/>
        <w:rPr>
          <w:rFonts w:ascii="Arial" w:hAnsi="Arial" w:cs="Arial"/>
          <w:sz w:val="24"/>
          <w:szCs w:val="24"/>
        </w:rPr>
      </w:pPr>
      <w:r w:rsidRPr="00076349">
        <w:rPr>
          <w:rFonts w:ascii="Arial" w:hAnsi="Arial" w:cs="Arial"/>
          <w:sz w:val="24"/>
          <w:szCs w:val="24"/>
        </w:rPr>
        <w:t>2007 [acceso 12/12/2017];32(2):157-61.</w:t>
      </w:r>
    </w:p>
    <w:p w:rsidR="00E62270" w:rsidRPr="00076349" w:rsidRDefault="00E62270" w:rsidP="00A0284A">
      <w:pPr>
        <w:pStyle w:val="Textosinformato"/>
        <w:jc w:val="both"/>
        <w:rPr>
          <w:rFonts w:ascii="Arial" w:hAnsi="Arial" w:cs="Arial"/>
          <w:sz w:val="24"/>
          <w:szCs w:val="24"/>
        </w:rPr>
      </w:pPr>
      <w:r w:rsidRPr="00076349">
        <w:rPr>
          <w:rFonts w:ascii="Arial" w:hAnsi="Arial" w:cs="Arial"/>
          <w:sz w:val="24"/>
          <w:szCs w:val="24"/>
        </w:rPr>
        <w:t xml:space="preserve">5. Bertolini G, D&amp;#8242;Amico R, Nardi D, Tinazzi A, Apolone G. One model, several results: the paradox of </w:t>
      </w:r>
      <w:r w:rsidR="00E54816" w:rsidRPr="00E54816">
        <w:rPr>
          <w:rFonts w:ascii="Arial" w:hAnsi="Arial" w:cs="Arial"/>
          <w:sz w:val="24"/>
          <w:szCs w:val="24"/>
        </w:rPr>
        <w:t>the Hosmer-Lemeshow goodness-of-fit test</w:t>
      </w:r>
      <w:r w:rsidRPr="00076349">
        <w:rPr>
          <w:rFonts w:ascii="Arial" w:hAnsi="Arial" w:cs="Arial"/>
          <w:sz w:val="24"/>
          <w:szCs w:val="24"/>
        </w:rPr>
        <w:t xml:space="preserve"> for the logistic regression model. J Epidemiol Biostat. 2000&amp;#894;5(4):2513.</w:t>
      </w:r>
    </w:p>
    <w:p w:rsidR="00E62270" w:rsidRPr="00076349" w:rsidRDefault="00E62270" w:rsidP="00A0284A">
      <w:pPr>
        <w:pStyle w:val="Textosinformato"/>
        <w:jc w:val="both"/>
        <w:rPr>
          <w:rFonts w:ascii="Arial" w:hAnsi="Arial" w:cs="Arial"/>
          <w:sz w:val="24"/>
          <w:szCs w:val="24"/>
        </w:rPr>
      </w:pPr>
      <w:r w:rsidRPr="00076349">
        <w:rPr>
          <w:rFonts w:ascii="Arial" w:hAnsi="Arial" w:cs="Arial"/>
          <w:sz w:val="24"/>
          <w:szCs w:val="24"/>
        </w:rPr>
        <w:t xml:space="preserve">6. Ballester Menéndez A, Fuentes Díaz Z, López Lazo SE, Puerto Pérez T, Rodríguez Salazar O. Herramienta de evaluación del paciente con dolor posoperatorio. 2018 [acceso 22/12/2018];17(2). [aprox.10p.].  </w:t>
      </w:r>
    </w:p>
    <w:p w:rsidR="00E62270" w:rsidRPr="00076349" w:rsidRDefault="00E62270" w:rsidP="00A0284A">
      <w:pPr>
        <w:pStyle w:val="Textosinformato"/>
        <w:jc w:val="both"/>
        <w:rPr>
          <w:rFonts w:ascii="Arial" w:hAnsi="Arial" w:cs="Arial"/>
          <w:sz w:val="24"/>
          <w:szCs w:val="24"/>
        </w:rPr>
      </w:pPr>
      <w:r w:rsidRPr="00076349">
        <w:rPr>
          <w:rFonts w:ascii="Arial" w:hAnsi="Arial" w:cs="Arial"/>
          <w:sz w:val="24"/>
          <w:szCs w:val="24"/>
        </w:rPr>
        <w:t xml:space="preserve">Disponible en:  </w:t>
      </w:r>
    </w:p>
    <w:p w:rsidR="00E62270" w:rsidRPr="00076349" w:rsidRDefault="00E62270" w:rsidP="00A0284A">
      <w:pPr>
        <w:pStyle w:val="Textosinformato"/>
        <w:jc w:val="both"/>
        <w:rPr>
          <w:rFonts w:ascii="Arial" w:hAnsi="Arial" w:cs="Arial"/>
          <w:sz w:val="24"/>
          <w:szCs w:val="24"/>
        </w:rPr>
      </w:pPr>
      <w:hyperlink r:id="rId6" w:history="1">
        <w:r w:rsidRPr="00076349">
          <w:rPr>
            <w:rStyle w:val="Hipervnculo"/>
            <w:rFonts w:ascii="Arial" w:hAnsi="Arial" w:cs="Arial"/>
            <w:sz w:val="24"/>
            <w:szCs w:val="24"/>
          </w:rPr>
          <w:t>http://www.revanestesia.sld.cu/index.php/anestRean/article/vie/412/424</w:t>
        </w:r>
      </w:hyperlink>
    </w:p>
    <w:p w:rsidR="00E62270" w:rsidRPr="00076349" w:rsidRDefault="00E62270" w:rsidP="00A0284A">
      <w:pPr>
        <w:pStyle w:val="Textosinformato"/>
        <w:jc w:val="both"/>
        <w:rPr>
          <w:rFonts w:ascii="Arial" w:hAnsi="Arial" w:cs="Arial"/>
          <w:sz w:val="24"/>
          <w:szCs w:val="24"/>
        </w:rPr>
      </w:pPr>
      <w:r w:rsidRPr="00076349">
        <w:rPr>
          <w:rFonts w:ascii="Arial" w:hAnsi="Arial" w:cs="Arial"/>
          <w:sz w:val="24"/>
          <w:szCs w:val="24"/>
        </w:rPr>
        <w:t xml:space="preserve">7. Luján Tangarife JA, Cardona Arias JA, Construcción y validación de escalas de medición en salud: revisión de propiedades psicométricas.  </w:t>
      </w:r>
    </w:p>
    <w:p w:rsidR="00E62270" w:rsidRPr="00076349" w:rsidRDefault="00E62270" w:rsidP="00A0284A">
      <w:pPr>
        <w:pStyle w:val="Textosinformato"/>
        <w:jc w:val="both"/>
        <w:rPr>
          <w:rFonts w:ascii="Arial" w:hAnsi="Arial" w:cs="Arial"/>
          <w:sz w:val="24"/>
          <w:szCs w:val="24"/>
        </w:rPr>
      </w:pPr>
      <w:r w:rsidRPr="00076349">
        <w:rPr>
          <w:rFonts w:ascii="Arial" w:hAnsi="Arial" w:cs="Arial"/>
          <w:sz w:val="24"/>
          <w:szCs w:val="24"/>
        </w:rPr>
        <w:t>Archivos de Medicina. 2015[acceso 10/12/2017];11(3):1-10. Disponible</w:t>
      </w:r>
    </w:p>
    <w:p w:rsidR="00E62270" w:rsidRPr="00076349" w:rsidRDefault="00E62270" w:rsidP="00A0284A">
      <w:pPr>
        <w:pStyle w:val="Textosinformato"/>
        <w:jc w:val="both"/>
        <w:rPr>
          <w:rFonts w:ascii="Arial" w:hAnsi="Arial" w:cs="Arial"/>
          <w:sz w:val="24"/>
          <w:szCs w:val="24"/>
        </w:rPr>
      </w:pPr>
      <w:r w:rsidRPr="00076349">
        <w:rPr>
          <w:rFonts w:ascii="Arial" w:hAnsi="Arial" w:cs="Arial"/>
          <w:sz w:val="24"/>
          <w:szCs w:val="24"/>
        </w:rPr>
        <w:t xml:space="preserve">en: </w:t>
      </w:r>
      <w:hyperlink r:id="rId7" w:history="1">
        <w:r w:rsidRPr="00076349">
          <w:rPr>
            <w:rStyle w:val="Hipervnculo"/>
            <w:rFonts w:ascii="Arial" w:hAnsi="Arial" w:cs="Arial"/>
            <w:sz w:val="24"/>
            <w:szCs w:val="24"/>
          </w:rPr>
          <w:t>http://www.archivosdemedicina.com/medicina-de-familia/construccion</w:t>
        </w:r>
      </w:hyperlink>
    </w:p>
    <w:p w:rsidR="00E62270" w:rsidRPr="00076349" w:rsidRDefault="00E62270" w:rsidP="00A0284A">
      <w:pPr>
        <w:pStyle w:val="Textosinformato"/>
        <w:jc w:val="both"/>
        <w:rPr>
          <w:rFonts w:ascii="Arial" w:hAnsi="Arial" w:cs="Arial"/>
          <w:sz w:val="24"/>
          <w:szCs w:val="24"/>
        </w:rPr>
      </w:pPr>
      <w:r w:rsidRPr="00076349">
        <w:rPr>
          <w:rFonts w:ascii="Arial" w:hAnsi="Arial" w:cs="Arial"/>
          <w:sz w:val="24"/>
          <w:szCs w:val="24"/>
        </w:rPr>
        <w:t>8. Dabbas Nayef A, Zuzuárregui Gironés JC, Arnal Bertome MC, Silla Criado J, Folgado Valero S. Bloqueo poplíteo por vía lateral: una modificación de la referencia anatómica. Rev Española de Anestesiología, Reanimación y tratamiento del dolor. 2003;50:126-29.</w:t>
      </w:r>
    </w:p>
    <w:p w:rsidR="00E62270" w:rsidRPr="00076349" w:rsidRDefault="00E62270" w:rsidP="00A0284A">
      <w:pPr>
        <w:pStyle w:val="Textosinformato"/>
        <w:jc w:val="both"/>
        <w:rPr>
          <w:rFonts w:ascii="Arial" w:hAnsi="Arial" w:cs="Arial"/>
          <w:sz w:val="24"/>
          <w:szCs w:val="24"/>
        </w:rPr>
      </w:pPr>
      <w:r w:rsidRPr="00076349">
        <w:rPr>
          <w:rFonts w:ascii="Arial" w:hAnsi="Arial" w:cs="Arial"/>
          <w:sz w:val="24"/>
          <w:szCs w:val="24"/>
        </w:rPr>
        <w:t xml:space="preserve">9. Sala-Blanch X, Franco J, Bergé R, Marín R, López AM, Agustí M. 3D ultrasound estimation of the effective volume for popliteal block at the level of division. Revista Española de Anestesiología y Reanimación (English Edition). 2017[acceso 11/03/2018];64 (3):125-30.  </w:t>
      </w:r>
    </w:p>
    <w:p w:rsidR="00E62270" w:rsidRPr="00076349" w:rsidRDefault="00E62270" w:rsidP="00A0284A">
      <w:pPr>
        <w:pStyle w:val="Textosinformato"/>
        <w:jc w:val="both"/>
        <w:rPr>
          <w:rFonts w:ascii="Arial" w:hAnsi="Arial" w:cs="Arial"/>
          <w:sz w:val="24"/>
          <w:szCs w:val="24"/>
        </w:rPr>
      </w:pPr>
      <w:r w:rsidRPr="00076349">
        <w:rPr>
          <w:rFonts w:ascii="Arial" w:hAnsi="Arial" w:cs="Arial"/>
          <w:sz w:val="24"/>
          <w:szCs w:val="24"/>
        </w:rPr>
        <w:t xml:space="preserve">Disponible en:  </w:t>
      </w:r>
      <w:hyperlink r:id="rId8" w:history="1">
        <w:r w:rsidRPr="00076349">
          <w:rPr>
            <w:rStyle w:val="Hipervnculo"/>
            <w:rFonts w:ascii="Arial" w:hAnsi="Arial" w:cs="Arial"/>
            <w:sz w:val="24"/>
            <w:szCs w:val="24"/>
          </w:rPr>
          <w:t>http://www.Medline.com</w:t>
        </w:r>
      </w:hyperlink>
    </w:p>
    <w:p w:rsidR="00E62270" w:rsidRPr="00076349" w:rsidRDefault="00E62270" w:rsidP="00A0284A">
      <w:pPr>
        <w:pStyle w:val="Textosinformato"/>
        <w:jc w:val="both"/>
        <w:rPr>
          <w:rFonts w:ascii="Arial" w:hAnsi="Arial" w:cs="Arial"/>
          <w:sz w:val="24"/>
          <w:szCs w:val="24"/>
        </w:rPr>
      </w:pPr>
      <w:r w:rsidRPr="00076349">
        <w:rPr>
          <w:rFonts w:ascii="Arial" w:hAnsi="Arial" w:cs="Arial"/>
          <w:sz w:val="24"/>
          <w:szCs w:val="24"/>
        </w:rPr>
        <w:t xml:space="preserve">10. Sistema de Información Estadística Nacional de Demografía. Oficina Nacional de Estadística e Información. Ministerio de Salud Pública de Cuba. Informe de balance 2017. La Habana, Febrero 2018 [acceso 22/12/2018]. Disponible en: </w:t>
      </w:r>
      <w:hyperlink r:id="rId9" w:history="1">
        <w:r w:rsidRPr="00076349">
          <w:rPr>
            <w:rStyle w:val="Hipervnculo"/>
            <w:rFonts w:ascii="Arial" w:hAnsi="Arial" w:cs="Arial"/>
            <w:sz w:val="24"/>
            <w:szCs w:val="24"/>
          </w:rPr>
          <w:t>www.ems.sld.cu</w:t>
        </w:r>
      </w:hyperlink>
      <w:r w:rsidRPr="00076349">
        <w:rPr>
          <w:rFonts w:ascii="Arial" w:hAnsi="Arial" w:cs="Arial"/>
          <w:sz w:val="24"/>
          <w:szCs w:val="24"/>
        </w:rPr>
        <w:t xml:space="preserve"> 11. Domingo Triadó V, Cabezudo de la Muela L, Crespo Pociello MT, Hernández Ramis S, Martínez Ruiz F, Palanca Sanfrancisco JM, et al.  </w:t>
      </w:r>
    </w:p>
    <w:p w:rsidR="00E62270" w:rsidRPr="00076349" w:rsidRDefault="00E62270" w:rsidP="00A0284A">
      <w:pPr>
        <w:pStyle w:val="Textosinformato"/>
        <w:jc w:val="both"/>
        <w:rPr>
          <w:rFonts w:ascii="Arial" w:hAnsi="Arial" w:cs="Arial"/>
          <w:sz w:val="24"/>
          <w:szCs w:val="24"/>
        </w:rPr>
      </w:pPr>
      <w:r w:rsidRPr="00076349">
        <w:rPr>
          <w:rFonts w:ascii="Arial" w:hAnsi="Arial" w:cs="Arial"/>
          <w:sz w:val="24"/>
          <w:szCs w:val="24"/>
        </w:rPr>
        <w:t xml:space="preserve">Sciatic nerve block with 1 % Mepivacaina for foot surgery: posterior versus lateral approach </w:t>
      </w:r>
      <w:r w:rsidR="00E54816" w:rsidRPr="00076349">
        <w:rPr>
          <w:rFonts w:ascii="Arial" w:hAnsi="Arial" w:cs="Arial"/>
          <w:sz w:val="24"/>
          <w:szCs w:val="24"/>
        </w:rPr>
        <w:t>to the</w:t>
      </w:r>
      <w:r w:rsidRPr="00076349">
        <w:rPr>
          <w:rFonts w:ascii="Arial" w:hAnsi="Arial" w:cs="Arial"/>
          <w:sz w:val="24"/>
          <w:szCs w:val="24"/>
        </w:rPr>
        <w:t xml:space="preserve"> popliteal fossa. Rev Esp Anestesiol Reanim. 2004[acceso 11/03/2018];51(2):70-4. Disponible en:  </w:t>
      </w:r>
    </w:p>
    <w:p w:rsidR="00E62270" w:rsidRPr="00076349" w:rsidRDefault="00E62270" w:rsidP="00A0284A">
      <w:pPr>
        <w:pStyle w:val="Textosinformato"/>
        <w:jc w:val="both"/>
        <w:rPr>
          <w:rFonts w:ascii="Arial" w:hAnsi="Arial" w:cs="Arial"/>
          <w:sz w:val="24"/>
          <w:szCs w:val="24"/>
        </w:rPr>
      </w:pPr>
      <w:hyperlink r:id="rId10" w:history="1">
        <w:r w:rsidRPr="00076349">
          <w:rPr>
            <w:rStyle w:val="Hipervnculo"/>
            <w:rFonts w:ascii="Arial" w:hAnsi="Arial" w:cs="Arial"/>
            <w:sz w:val="24"/>
            <w:szCs w:val="24"/>
          </w:rPr>
          <w:t>http://www.Medline.com</w:t>
        </w:r>
      </w:hyperlink>
    </w:p>
    <w:p w:rsidR="00E62270" w:rsidRPr="00076349" w:rsidRDefault="00E62270" w:rsidP="00A0284A">
      <w:pPr>
        <w:pStyle w:val="Textosinformato"/>
        <w:jc w:val="both"/>
        <w:rPr>
          <w:rFonts w:ascii="Arial" w:hAnsi="Arial" w:cs="Arial"/>
          <w:sz w:val="24"/>
          <w:szCs w:val="24"/>
        </w:rPr>
      </w:pPr>
      <w:r w:rsidRPr="00076349">
        <w:rPr>
          <w:rFonts w:ascii="Arial" w:hAnsi="Arial" w:cs="Arial"/>
          <w:sz w:val="24"/>
          <w:szCs w:val="24"/>
        </w:rPr>
        <w:t>12. McLeod DH, Wong DHW, Claridge RJ, Merrick PM. Lateral popliteal sciatic nerve block compared with subcutaneous infiltration for analgesia following foot surgery. Can J Anaesth. 1994;41(8):673-76.</w:t>
      </w:r>
    </w:p>
    <w:p w:rsidR="00E62270" w:rsidRPr="00076349" w:rsidRDefault="00E62270" w:rsidP="00A0284A">
      <w:pPr>
        <w:pStyle w:val="Textosinformato"/>
        <w:jc w:val="both"/>
        <w:rPr>
          <w:rFonts w:ascii="Arial" w:hAnsi="Arial" w:cs="Arial"/>
          <w:sz w:val="24"/>
          <w:szCs w:val="24"/>
        </w:rPr>
      </w:pPr>
      <w:r w:rsidRPr="00076349">
        <w:rPr>
          <w:rFonts w:ascii="Arial" w:hAnsi="Arial" w:cs="Arial"/>
          <w:sz w:val="24"/>
          <w:szCs w:val="24"/>
        </w:rPr>
        <w:t>13. McLeod DH, Wong DHW, Vaghadia H, Claridge RJ, Merrick PM. Lateral popliteal sciatic nerve block compared with ankle block for analgesia following foot surgery. Can J Anaesth. 1995;42(9):765-69.</w:t>
      </w:r>
    </w:p>
    <w:p w:rsidR="00E62270" w:rsidRPr="00076349" w:rsidRDefault="00E62270" w:rsidP="00A0284A">
      <w:pPr>
        <w:pStyle w:val="Textosinformato"/>
        <w:jc w:val="both"/>
        <w:rPr>
          <w:rFonts w:ascii="Arial" w:hAnsi="Arial" w:cs="Arial"/>
          <w:sz w:val="24"/>
          <w:szCs w:val="24"/>
        </w:rPr>
      </w:pPr>
      <w:r w:rsidRPr="00076349">
        <w:rPr>
          <w:rFonts w:ascii="Arial" w:hAnsi="Arial" w:cs="Arial"/>
          <w:sz w:val="24"/>
          <w:szCs w:val="24"/>
        </w:rPr>
        <w:t>14. Vloka J, Hadzic A, April E, Thys D. The division of the sciatic nerve in the popliteal fossa: anatomical implications for popliteal nerve blockade. Anesth Analg 2001;92(1):215-17.</w:t>
      </w:r>
    </w:p>
    <w:p w:rsidR="00E62270" w:rsidRPr="00076349" w:rsidRDefault="00E62270" w:rsidP="00A0284A">
      <w:pPr>
        <w:pStyle w:val="Textosinformato"/>
        <w:jc w:val="both"/>
        <w:rPr>
          <w:rFonts w:ascii="Arial" w:hAnsi="Arial" w:cs="Arial"/>
          <w:sz w:val="24"/>
          <w:szCs w:val="24"/>
        </w:rPr>
      </w:pPr>
      <w:r w:rsidRPr="00076349">
        <w:rPr>
          <w:rFonts w:ascii="Arial" w:hAnsi="Arial" w:cs="Arial"/>
          <w:sz w:val="24"/>
          <w:szCs w:val="24"/>
        </w:rPr>
        <w:t xml:space="preserve">15. Hadzic A, Vloka JD. A comparison of the posterior versus lateral approaches to the block of the aciatic nerve in the popliteal fossa.  </w:t>
      </w:r>
    </w:p>
    <w:p w:rsidR="00E62270" w:rsidRPr="00076349" w:rsidRDefault="00E62270" w:rsidP="00A0284A">
      <w:pPr>
        <w:pStyle w:val="Textosinformato"/>
        <w:jc w:val="both"/>
        <w:rPr>
          <w:rFonts w:ascii="Arial" w:hAnsi="Arial" w:cs="Arial"/>
          <w:sz w:val="24"/>
          <w:szCs w:val="24"/>
        </w:rPr>
      </w:pPr>
      <w:r w:rsidRPr="00076349">
        <w:rPr>
          <w:rFonts w:ascii="Arial" w:hAnsi="Arial" w:cs="Arial"/>
          <w:sz w:val="24"/>
          <w:szCs w:val="24"/>
        </w:rPr>
        <w:t>Anesthesiology. 1998[acceso 12/12/2018];88(6):1480-6.</w:t>
      </w:r>
    </w:p>
    <w:p w:rsidR="00E62270" w:rsidRPr="00076349" w:rsidRDefault="00E62270" w:rsidP="00A0284A">
      <w:pPr>
        <w:pStyle w:val="Textosinformato"/>
        <w:jc w:val="both"/>
        <w:rPr>
          <w:rFonts w:ascii="Arial" w:hAnsi="Arial" w:cs="Arial"/>
          <w:sz w:val="24"/>
          <w:szCs w:val="24"/>
        </w:rPr>
      </w:pPr>
      <w:r w:rsidRPr="00076349">
        <w:rPr>
          <w:rFonts w:ascii="Arial" w:hAnsi="Arial" w:cs="Arial"/>
          <w:sz w:val="24"/>
          <w:szCs w:val="24"/>
        </w:rPr>
        <w:lastRenderedPageBreak/>
        <w:t>16. Vloka JD, Hadzic A, Kitain E, Lesser JB, Kuroda MM, April EW, et al. Anatomic considerations for sciatic nerve block in the popliteal fossa through the lateral approach. Reg Anesth. 1996;21(5):414-18.</w:t>
      </w:r>
    </w:p>
    <w:p w:rsidR="00E62270" w:rsidRPr="00076349" w:rsidRDefault="00E62270" w:rsidP="00A0284A">
      <w:pPr>
        <w:pStyle w:val="Textosinformato"/>
        <w:jc w:val="both"/>
        <w:rPr>
          <w:rFonts w:ascii="Arial" w:hAnsi="Arial" w:cs="Arial"/>
          <w:sz w:val="24"/>
          <w:szCs w:val="24"/>
        </w:rPr>
      </w:pPr>
      <w:r w:rsidRPr="00076349">
        <w:rPr>
          <w:rFonts w:ascii="Arial" w:hAnsi="Arial" w:cs="Arial"/>
          <w:sz w:val="24"/>
          <w:szCs w:val="24"/>
        </w:rPr>
        <w:t>17. Taboada M, Bascuas B, Oliveira J, Del Ríos S, Rodriguez J, Cortés J, et al. Techniques to block the sciatic nerve by a lateral approach through the popliteal fossa. Revista Española de Anestesiología y Reanimación. 2006[acceso 12/12/2017]53(4):226.</w:t>
      </w:r>
    </w:p>
    <w:p w:rsidR="00E62270" w:rsidRPr="00076349" w:rsidRDefault="00E62270" w:rsidP="00A0284A">
      <w:pPr>
        <w:pStyle w:val="Textosinformato"/>
        <w:jc w:val="both"/>
        <w:rPr>
          <w:rFonts w:ascii="Arial" w:hAnsi="Arial" w:cs="Arial"/>
          <w:sz w:val="24"/>
          <w:szCs w:val="24"/>
        </w:rPr>
      </w:pPr>
      <w:r w:rsidRPr="00076349">
        <w:rPr>
          <w:rFonts w:ascii="Arial" w:hAnsi="Arial" w:cs="Arial"/>
          <w:sz w:val="24"/>
          <w:szCs w:val="24"/>
        </w:rPr>
        <w:t>18. Gray AT. Guía ecográfica en la anestesia. En: Miller RD, Eriksson LI, Fleisher LA, Wiener-Kronish JP, Young WL, Adel TG, et al. Miller`s Anesthesia.8va edición. Churcill Livinstone: Elsevier; 2015 .p. 1441.</w:t>
      </w:r>
    </w:p>
    <w:p w:rsidR="00E62270" w:rsidRPr="00076349" w:rsidRDefault="00E62270" w:rsidP="00A0284A">
      <w:pPr>
        <w:pStyle w:val="Textosinformato"/>
        <w:jc w:val="both"/>
        <w:rPr>
          <w:rFonts w:ascii="Arial" w:hAnsi="Arial" w:cs="Arial"/>
          <w:sz w:val="24"/>
          <w:szCs w:val="24"/>
        </w:rPr>
      </w:pPr>
      <w:r w:rsidRPr="00076349">
        <w:rPr>
          <w:rFonts w:ascii="Arial" w:hAnsi="Arial" w:cs="Arial"/>
          <w:sz w:val="24"/>
          <w:szCs w:val="24"/>
        </w:rPr>
        <w:t>19. Al&amp;#8722;Nasser BA. Modified lateral approach for a single –shot sciatic nerve block in the popliteal fossa. Journal for Clinical Anesthesia. 2002[acceso 16/10/2018];14(8):608.</w:t>
      </w:r>
    </w:p>
    <w:p w:rsidR="00E62270" w:rsidRPr="00076349" w:rsidRDefault="00E62270" w:rsidP="00A0284A">
      <w:pPr>
        <w:pStyle w:val="Textosinformato"/>
        <w:jc w:val="both"/>
        <w:rPr>
          <w:rFonts w:ascii="Arial" w:hAnsi="Arial" w:cs="Arial"/>
          <w:sz w:val="24"/>
          <w:szCs w:val="24"/>
        </w:rPr>
      </w:pPr>
      <w:r w:rsidRPr="00076349">
        <w:rPr>
          <w:rFonts w:ascii="Arial" w:hAnsi="Arial" w:cs="Arial"/>
          <w:sz w:val="24"/>
          <w:szCs w:val="24"/>
        </w:rPr>
        <w:t>20. Sinardi D, Marino A, C</w:t>
      </w:r>
      <w:bookmarkStart w:id="0" w:name="_GoBack"/>
      <w:bookmarkEnd w:id="0"/>
      <w:r w:rsidRPr="00076349">
        <w:rPr>
          <w:rFonts w:ascii="Arial" w:hAnsi="Arial" w:cs="Arial"/>
          <w:sz w:val="24"/>
          <w:szCs w:val="24"/>
        </w:rPr>
        <w:t xml:space="preserve">hillemi S, Siliotti R, Mondeno E. Sciatic nerve block with lateral popliteal approach for hallux valgus correction. Comparison between 0,5 % de bupivacaine and 0,75 %.  </w:t>
      </w:r>
    </w:p>
    <w:p w:rsidR="00E62270" w:rsidRPr="00076349" w:rsidRDefault="00E62270" w:rsidP="00A0284A">
      <w:pPr>
        <w:pStyle w:val="Textosinformato"/>
        <w:jc w:val="both"/>
        <w:rPr>
          <w:rFonts w:ascii="Arial" w:hAnsi="Arial" w:cs="Arial"/>
          <w:sz w:val="24"/>
          <w:szCs w:val="24"/>
        </w:rPr>
      </w:pPr>
      <w:r w:rsidRPr="00076349">
        <w:rPr>
          <w:rFonts w:ascii="Arial" w:hAnsi="Arial" w:cs="Arial"/>
          <w:sz w:val="24"/>
          <w:szCs w:val="24"/>
        </w:rPr>
        <w:t>Minerva Anestesiol. 2004[acceso 12/12/2017];70(9):625-9.</w:t>
      </w:r>
    </w:p>
    <w:p w:rsidR="00E62270" w:rsidRPr="00076349" w:rsidRDefault="00E62270" w:rsidP="00A0284A">
      <w:pPr>
        <w:pStyle w:val="Textosinformato"/>
        <w:jc w:val="both"/>
        <w:rPr>
          <w:rFonts w:ascii="Arial" w:hAnsi="Arial" w:cs="Arial"/>
          <w:sz w:val="24"/>
          <w:szCs w:val="24"/>
        </w:rPr>
      </w:pPr>
      <w:r w:rsidRPr="00076349">
        <w:rPr>
          <w:rFonts w:ascii="Arial" w:hAnsi="Arial" w:cs="Arial"/>
          <w:sz w:val="24"/>
          <w:szCs w:val="24"/>
        </w:rPr>
        <w:t>21. Wedel DJ, Horlocker TT. Bloqueos nerviosos. En: Miller RD,</w:t>
      </w:r>
      <w:r w:rsidR="00E54816">
        <w:rPr>
          <w:rFonts w:ascii="Arial" w:hAnsi="Arial" w:cs="Arial"/>
          <w:sz w:val="24"/>
          <w:szCs w:val="24"/>
        </w:rPr>
        <w:t xml:space="preserve"> </w:t>
      </w:r>
      <w:r w:rsidRPr="00076349">
        <w:rPr>
          <w:rFonts w:ascii="Arial" w:hAnsi="Arial" w:cs="Arial"/>
          <w:sz w:val="24"/>
          <w:szCs w:val="24"/>
        </w:rPr>
        <w:t xml:space="preserve">Eriksson LI, Fleisher LA, Wiener-Kronish JP, Young WL, Adel TG, et al. Miller`s Anesthesia. 8va edición. Churcill Livinstone: Elsevier; </w:t>
      </w:r>
      <w:r w:rsidR="00E54816" w:rsidRPr="00076349">
        <w:rPr>
          <w:rFonts w:ascii="Arial" w:hAnsi="Arial" w:cs="Arial"/>
          <w:sz w:val="24"/>
          <w:szCs w:val="24"/>
        </w:rPr>
        <w:t>2015.</w:t>
      </w:r>
      <w:r w:rsidRPr="00076349">
        <w:rPr>
          <w:rFonts w:ascii="Arial" w:hAnsi="Arial" w:cs="Arial"/>
          <w:sz w:val="24"/>
          <w:szCs w:val="24"/>
        </w:rPr>
        <w:t>p. 1405.</w:t>
      </w:r>
    </w:p>
    <w:p w:rsidR="00E62270" w:rsidRPr="00076349" w:rsidRDefault="00E62270" w:rsidP="00A0284A">
      <w:pPr>
        <w:pStyle w:val="Textosinformato"/>
        <w:jc w:val="both"/>
        <w:rPr>
          <w:rFonts w:ascii="Arial" w:hAnsi="Arial" w:cs="Arial"/>
          <w:sz w:val="24"/>
          <w:szCs w:val="24"/>
        </w:rPr>
      </w:pPr>
    </w:p>
    <w:p w:rsidR="00E62270" w:rsidRPr="00076349" w:rsidRDefault="00E62270" w:rsidP="00A0284A">
      <w:pPr>
        <w:pStyle w:val="Textosinformato"/>
        <w:jc w:val="both"/>
        <w:rPr>
          <w:rFonts w:ascii="Arial" w:hAnsi="Arial" w:cs="Arial"/>
          <w:sz w:val="24"/>
          <w:szCs w:val="24"/>
        </w:rPr>
      </w:pPr>
    </w:p>
    <w:p w:rsidR="00E62270" w:rsidRPr="00076349" w:rsidRDefault="00E62270" w:rsidP="00A0284A">
      <w:pPr>
        <w:pStyle w:val="Textosinformato"/>
        <w:jc w:val="both"/>
        <w:rPr>
          <w:rFonts w:ascii="Arial" w:hAnsi="Arial" w:cs="Arial"/>
          <w:sz w:val="24"/>
          <w:szCs w:val="24"/>
        </w:rPr>
      </w:pPr>
    </w:p>
    <w:p w:rsidR="00E62270" w:rsidRPr="00076349" w:rsidRDefault="00E62270" w:rsidP="00A0284A">
      <w:pPr>
        <w:spacing w:after="0" w:line="240" w:lineRule="auto"/>
        <w:jc w:val="both"/>
        <w:rPr>
          <w:rFonts w:ascii="Arial" w:hAnsi="Arial" w:cs="Arial"/>
          <w:sz w:val="24"/>
          <w:szCs w:val="24"/>
          <w:lang w:val="en-US"/>
        </w:rPr>
      </w:pPr>
    </w:p>
    <w:sectPr w:rsidR="00E62270" w:rsidRPr="00076349" w:rsidSect="00A0284A">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270"/>
    <w:rsid w:val="00076349"/>
    <w:rsid w:val="002A1A6B"/>
    <w:rsid w:val="00A0284A"/>
    <w:rsid w:val="00C837CD"/>
    <w:rsid w:val="00CA4F29"/>
    <w:rsid w:val="00D21312"/>
    <w:rsid w:val="00E33E05"/>
    <w:rsid w:val="00E54816"/>
    <w:rsid w:val="00E62270"/>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2883F"/>
  <w15:chartTrackingRefBased/>
  <w15:docId w15:val="{BC28D133-654A-4A49-AD64-B301A40A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E62270"/>
    <w:pPr>
      <w:spacing w:after="0" w:line="240" w:lineRule="auto"/>
    </w:pPr>
    <w:rPr>
      <w:rFonts w:ascii="Calibri" w:hAnsi="Calibri"/>
      <w:szCs w:val="21"/>
      <w:lang w:val="en-US"/>
    </w:rPr>
  </w:style>
  <w:style w:type="character" w:customStyle="1" w:styleId="TextosinformatoCar">
    <w:name w:val="Texto sin formato Car"/>
    <w:basedOn w:val="Fuentedeprrafopredeter"/>
    <w:link w:val="Textosinformato"/>
    <w:uiPriority w:val="99"/>
    <w:rsid w:val="00E62270"/>
    <w:rPr>
      <w:rFonts w:ascii="Calibri" w:hAnsi="Calibri"/>
      <w:szCs w:val="21"/>
      <w:lang w:val="en-US"/>
    </w:rPr>
  </w:style>
  <w:style w:type="character" w:styleId="Hipervnculo">
    <w:name w:val="Hyperlink"/>
    <w:basedOn w:val="Fuentedeprrafopredeter"/>
    <w:uiPriority w:val="99"/>
    <w:unhideWhenUsed/>
    <w:rsid w:val="00E62270"/>
    <w:rPr>
      <w:color w:val="0563C1" w:themeColor="hyperlink"/>
      <w:u w:val="single"/>
    </w:rPr>
  </w:style>
  <w:style w:type="character" w:customStyle="1" w:styleId="UnresolvedMention">
    <w:name w:val="Unresolved Mention"/>
    <w:basedOn w:val="Fuentedeprrafopredeter"/>
    <w:uiPriority w:val="99"/>
    <w:semiHidden/>
    <w:unhideWhenUsed/>
    <w:rsid w:val="00E62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446990">
      <w:bodyDiv w:val="1"/>
      <w:marLeft w:val="0"/>
      <w:marRight w:val="0"/>
      <w:marTop w:val="0"/>
      <w:marBottom w:val="0"/>
      <w:divBdr>
        <w:top w:val="none" w:sz="0" w:space="0" w:color="auto"/>
        <w:left w:val="none" w:sz="0" w:space="0" w:color="auto"/>
        <w:bottom w:val="none" w:sz="0" w:space="0" w:color="auto"/>
        <w:right w:val="none" w:sz="0" w:space="0" w:color="auto"/>
      </w:divBdr>
    </w:div>
    <w:div w:id="752971902">
      <w:bodyDiv w:val="1"/>
      <w:marLeft w:val="0"/>
      <w:marRight w:val="0"/>
      <w:marTop w:val="0"/>
      <w:marBottom w:val="0"/>
      <w:divBdr>
        <w:top w:val="none" w:sz="0" w:space="0" w:color="auto"/>
        <w:left w:val="none" w:sz="0" w:space="0" w:color="auto"/>
        <w:bottom w:val="none" w:sz="0" w:space="0" w:color="auto"/>
        <w:right w:val="none" w:sz="0" w:space="0" w:color="auto"/>
      </w:divBdr>
    </w:div>
    <w:div w:id="180453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line.com" TargetMode="External"/><Relationship Id="rId3" Type="http://schemas.openxmlformats.org/officeDocument/2006/relationships/webSettings" Target="webSettings.xml"/><Relationship Id="rId7" Type="http://schemas.openxmlformats.org/officeDocument/2006/relationships/hyperlink" Target="http://www.archivosdemedicina.com/medicina-de-familia/construccio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vanestesia.sld.cu/index.php/anestRean/article/vie/412/424" TargetMode="External"/><Relationship Id="rId11" Type="http://schemas.openxmlformats.org/officeDocument/2006/relationships/fontTable" Target="fontTable.xml"/><Relationship Id="rId5" Type="http://schemas.openxmlformats.org/officeDocument/2006/relationships/hyperlink" Target="http://anestesiaregionalargentina.com/web3/index.php/tecnicas/miembro-inferior/180-bloqueo-del-nervio-ciatico-en-el-hueco-popliteo" TargetMode="External"/><Relationship Id="rId10" Type="http://schemas.openxmlformats.org/officeDocument/2006/relationships/hyperlink" Target="http://www.Medline.com" TargetMode="External"/><Relationship Id="rId4" Type="http://schemas.openxmlformats.org/officeDocument/2006/relationships/hyperlink" Target="https://rapm.bmj.com/content/39/2/108" TargetMode="External"/><Relationship Id="rId9" Type="http://schemas.openxmlformats.org/officeDocument/2006/relationships/hyperlink" Target="http://www.ems.sld.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1091</Words>
  <Characters>6220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Anier López Pérez</dc:creator>
  <cp:keywords/>
  <dc:description/>
  <cp:lastModifiedBy>Rogelio Frank Luis Castro</cp:lastModifiedBy>
  <cp:revision>2</cp:revision>
  <dcterms:created xsi:type="dcterms:W3CDTF">2019-10-17T13:13:00Z</dcterms:created>
  <dcterms:modified xsi:type="dcterms:W3CDTF">2019-10-18T04:13:00Z</dcterms:modified>
</cp:coreProperties>
</file>