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4CFA0" w14:textId="3BC98550" w:rsidR="00CE5002" w:rsidRPr="001224D7" w:rsidRDefault="004202DB" w:rsidP="008F219D">
      <w:pPr>
        <w:spacing w:after="0" w:line="360" w:lineRule="auto"/>
        <w:jc w:val="center"/>
        <w:rPr>
          <w:rFonts w:ascii="Arial" w:hAnsi="Arial" w:cs="Arial"/>
          <w:b/>
          <w:color w:val="002060"/>
          <w:sz w:val="24"/>
          <w:szCs w:val="24"/>
        </w:rPr>
      </w:pPr>
      <w:r w:rsidRPr="001224D7">
        <w:rPr>
          <w:rFonts w:ascii="Arial" w:hAnsi="Arial" w:cs="Arial"/>
          <w:b/>
          <w:color w:val="002060"/>
          <w:sz w:val="24"/>
          <w:szCs w:val="24"/>
        </w:rPr>
        <w:t xml:space="preserve">Trad </w:t>
      </w:r>
      <w:r w:rsidR="007C13AA" w:rsidRPr="001224D7">
        <w:rPr>
          <w:rFonts w:ascii="Arial" w:hAnsi="Arial" w:cs="Arial"/>
          <w:b/>
          <w:color w:val="002060"/>
          <w:sz w:val="24"/>
          <w:szCs w:val="24"/>
        </w:rPr>
        <w:t>Ortop 122 Resúmenes (P</w:t>
      </w:r>
      <w:r w:rsidR="0040384F" w:rsidRPr="001224D7">
        <w:rPr>
          <w:rFonts w:ascii="Arial" w:hAnsi="Arial" w:cs="Arial"/>
          <w:b/>
          <w:color w:val="002060"/>
          <w:sz w:val="24"/>
          <w:szCs w:val="24"/>
        </w:rPr>
        <w:t>3</w:t>
      </w:r>
      <w:r w:rsidR="007C13AA" w:rsidRPr="001224D7">
        <w:rPr>
          <w:rFonts w:ascii="Arial" w:hAnsi="Arial" w:cs="Arial"/>
          <w:b/>
          <w:color w:val="002060"/>
          <w:sz w:val="24"/>
          <w:szCs w:val="24"/>
        </w:rPr>
        <w:t>)</w:t>
      </w:r>
    </w:p>
    <w:p w14:paraId="19601657" w14:textId="77777777" w:rsidR="009F2C19" w:rsidRPr="001224D7" w:rsidRDefault="007C13AA" w:rsidP="008F219D">
      <w:pPr>
        <w:pStyle w:val="Ttulo2"/>
        <w:tabs>
          <w:tab w:val="clear" w:pos="5748"/>
        </w:tabs>
        <w:rPr>
          <w:lang w:val="en-US"/>
        </w:rPr>
      </w:pPr>
      <w:r w:rsidRPr="001224D7">
        <w:rPr>
          <w:lang w:val="en-US"/>
        </w:rPr>
        <w:t>Art. 233</w:t>
      </w:r>
      <w:r w:rsidR="009F2C19" w:rsidRPr="001224D7">
        <w:rPr>
          <w:lang w:val="en-US"/>
        </w:rPr>
        <w:t xml:space="preserve"> </w:t>
      </w:r>
    </w:p>
    <w:p w14:paraId="0641C043" w14:textId="20481DED" w:rsidR="009F2C19" w:rsidRPr="001224D7" w:rsidRDefault="009F2C19" w:rsidP="008F219D">
      <w:pPr>
        <w:pStyle w:val="Ttulo2"/>
        <w:tabs>
          <w:tab w:val="clear" w:pos="5748"/>
        </w:tabs>
        <w:rPr>
          <w:lang w:val="en-US"/>
        </w:rPr>
      </w:pPr>
      <w:r w:rsidRPr="001224D7">
        <w:rPr>
          <w:lang w:val="en-US"/>
        </w:rPr>
        <w:t xml:space="preserve">Influence of Obesity on the </w:t>
      </w:r>
      <w:r w:rsidRPr="001224D7">
        <w:rPr>
          <w:lang w:val="en-US"/>
        </w:rPr>
        <w:t xml:space="preserve">Surgical </w:t>
      </w:r>
      <w:r w:rsidR="008F219D" w:rsidRPr="001224D7">
        <w:rPr>
          <w:lang w:val="en-US"/>
        </w:rPr>
        <w:t>Outcomes</w:t>
      </w:r>
      <w:r w:rsidRPr="001224D7">
        <w:rPr>
          <w:lang w:val="en-US"/>
        </w:rPr>
        <w:t xml:space="preserve"> of Degenerative Lumbar Stenosis </w:t>
      </w:r>
      <w:r w:rsidRPr="001224D7">
        <w:rPr>
          <w:lang w:val="en-US"/>
        </w:rPr>
        <w:t>Treatment</w:t>
      </w:r>
    </w:p>
    <w:p w14:paraId="5D8365A9" w14:textId="5E22A7A7" w:rsidR="007C13AA" w:rsidRPr="001224D7" w:rsidRDefault="007C13AA" w:rsidP="008F219D">
      <w:pPr>
        <w:spacing w:after="0" w:line="360" w:lineRule="auto"/>
        <w:jc w:val="both"/>
        <w:rPr>
          <w:rFonts w:ascii="Arial" w:hAnsi="Arial" w:cs="Arial"/>
          <w:sz w:val="24"/>
          <w:szCs w:val="24"/>
        </w:rPr>
      </w:pPr>
      <w:r w:rsidRPr="001224D7">
        <w:rPr>
          <w:rFonts w:ascii="Arial" w:hAnsi="Arial" w:cs="Arial"/>
          <w:b/>
          <w:sz w:val="24"/>
          <w:szCs w:val="24"/>
        </w:rPr>
        <w:t>Influencia de la obesidad en los resultados del tratamiento quirúrgico</w:t>
      </w:r>
      <w:r w:rsidR="004A6266" w:rsidRPr="001224D7">
        <w:rPr>
          <w:rFonts w:ascii="Arial" w:hAnsi="Arial" w:cs="Arial"/>
          <w:b/>
          <w:sz w:val="24"/>
          <w:szCs w:val="24"/>
        </w:rPr>
        <w:t xml:space="preserve"> </w:t>
      </w:r>
      <w:r w:rsidRPr="001224D7">
        <w:rPr>
          <w:rFonts w:ascii="Arial" w:hAnsi="Arial" w:cs="Arial"/>
          <w:b/>
          <w:sz w:val="24"/>
          <w:szCs w:val="24"/>
        </w:rPr>
        <w:t>de la estenosis lumbar degenerativa</w:t>
      </w:r>
    </w:p>
    <w:p w14:paraId="56D850FE" w14:textId="77777777" w:rsidR="008F219D" w:rsidRPr="001224D7" w:rsidRDefault="009F2C19" w:rsidP="008F219D">
      <w:pPr>
        <w:pStyle w:val="Ttulo3"/>
        <w:jc w:val="both"/>
        <w:rPr>
          <w:lang w:val="en-US"/>
        </w:rPr>
      </w:pPr>
      <w:r w:rsidRPr="001224D7">
        <w:rPr>
          <w:lang w:val="en-US"/>
        </w:rPr>
        <w:t>ABSTRACT</w:t>
      </w:r>
    </w:p>
    <w:p w14:paraId="5DEAB955" w14:textId="43A80D85" w:rsidR="009F2C19" w:rsidRPr="001224D7" w:rsidRDefault="009F2C19" w:rsidP="008F219D">
      <w:pPr>
        <w:pStyle w:val="Ttulo3"/>
        <w:jc w:val="both"/>
        <w:rPr>
          <w:lang w:val="en-US"/>
        </w:rPr>
      </w:pPr>
      <w:r w:rsidRPr="001224D7">
        <w:rPr>
          <w:lang w:val="en-US"/>
        </w:rPr>
        <w:t xml:space="preserve">Introduction: </w:t>
      </w:r>
      <w:r w:rsidRPr="001224D7">
        <w:rPr>
          <w:b w:val="0"/>
          <w:lang w:val="en-US"/>
        </w:rPr>
        <w:t>Degenerative lumbar stenosis alters quality of life and decreases functional capacity in older adults. Obesity represents a current global health problem.</w:t>
      </w:r>
    </w:p>
    <w:p w14:paraId="025229DC" w14:textId="77777777" w:rsidR="008F219D" w:rsidRPr="001224D7" w:rsidRDefault="009F2C19" w:rsidP="008F219D">
      <w:pPr>
        <w:pStyle w:val="Ttulo3"/>
        <w:jc w:val="both"/>
        <w:rPr>
          <w:lang w:val="en-US"/>
        </w:rPr>
      </w:pPr>
      <w:r w:rsidRPr="001224D7">
        <w:rPr>
          <w:lang w:val="en-US"/>
        </w:rPr>
        <w:t xml:space="preserve">Objective: </w:t>
      </w:r>
      <w:r w:rsidRPr="001224D7">
        <w:rPr>
          <w:b w:val="0"/>
          <w:lang w:val="en-US"/>
        </w:rPr>
        <w:t>To detail the effects of obesity on surgical risk, postoperative complication rates, and functional outcomes in older patients undergoing elective surgery f</w:t>
      </w:r>
      <w:r w:rsidRPr="001224D7">
        <w:rPr>
          <w:b w:val="0"/>
          <w:lang w:val="en-US"/>
        </w:rPr>
        <w:t>or degenerative lumbar stenosis</w:t>
      </w:r>
      <w:r w:rsidR="008F219D" w:rsidRPr="001224D7">
        <w:rPr>
          <w:b w:val="0"/>
          <w:lang w:val="en-US"/>
        </w:rPr>
        <w:t>.</w:t>
      </w:r>
    </w:p>
    <w:p w14:paraId="56C338F5" w14:textId="77777777" w:rsidR="008F219D" w:rsidRPr="001224D7" w:rsidRDefault="008F219D" w:rsidP="008F219D">
      <w:pPr>
        <w:pStyle w:val="Ttulo3"/>
        <w:jc w:val="both"/>
        <w:rPr>
          <w:lang w:val="en-US"/>
        </w:rPr>
      </w:pPr>
      <w:r w:rsidRPr="001224D7">
        <w:rPr>
          <w:lang w:val="en-US"/>
        </w:rPr>
        <w:t>Methods</w:t>
      </w:r>
      <w:r w:rsidRPr="001224D7">
        <w:rPr>
          <w:b w:val="0"/>
          <w:lang w:val="en-US"/>
        </w:rPr>
        <w:t>: This a prospective-descriptive study with elderly patients who underwent surgery due to a diagnosis of degenerative lumbar stenosis and were assessed one year later.</w:t>
      </w:r>
    </w:p>
    <w:p w14:paraId="20024D46" w14:textId="2E9A45B6" w:rsidR="0070745C" w:rsidRPr="001224D7" w:rsidRDefault="008F219D" w:rsidP="0070745C">
      <w:pPr>
        <w:pStyle w:val="Ttulo3"/>
        <w:jc w:val="both"/>
        <w:rPr>
          <w:lang w:val="en-US"/>
        </w:rPr>
      </w:pPr>
      <w:r w:rsidRPr="001224D7">
        <w:rPr>
          <w:lang w:val="en-US"/>
        </w:rPr>
        <w:t>Results</w:t>
      </w:r>
      <w:r w:rsidRPr="001224D7">
        <w:rPr>
          <w:b w:val="0"/>
          <w:lang w:val="en-US"/>
        </w:rPr>
        <w:t xml:space="preserve">: </w:t>
      </w:r>
      <w:r w:rsidRPr="001224D7">
        <w:rPr>
          <w:b w:val="0"/>
          <w:lang w:val="en-US"/>
        </w:rPr>
        <w:t>Fifty five p</w:t>
      </w:r>
      <w:r w:rsidRPr="001224D7">
        <w:rPr>
          <w:b w:val="0"/>
          <w:lang w:val="en-US"/>
        </w:rPr>
        <w:t xml:space="preserve">atients, 23 obese, 32 non-obese; sex ratio 1.5:1 male-female, </w:t>
      </w:r>
      <w:r w:rsidRPr="001224D7">
        <w:rPr>
          <w:b w:val="0"/>
          <w:lang w:val="en-US"/>
        </w:rPr>
        <w:t>larger</w:t>
      </w:r>
      <w:r w:rsidRPr="001224D7">
        <w:rPr>
          <w:b w:val="0"/>
          <w:lang w:val="en-US"/>
        </w:rPr>
        <w:t xml:space="preserve"> number of intervened spaces, surgical time and blood loss in obese. The obese </w:t>
      </w:r>
      <w:r w:rsidR="00CA393C" w:rsidRPr="001224D7">
        <w:rPr>
          <w:b w:val="0"/>
          <w:lang w:val="en-US"/>
        </w:rPr>
        <w:t>had higher</w:t>
      </w:r>
      <w:r w:rsidRPr="001224D7">
        <w:rPr>
          <w:b w:val="0"/>
          <w:lang w:val="en-US"/>
        </w:rPr>
        <w:t xml:space="preserve"> number of post-surgical complications and less good functional results.</w:t>
      </w:r>
      <w:r w:rsidR="0070745C" w:rsidRPr="001224D7">
        <w:rPr>
          <w:lang w:val="en-US"/>
        </w:rPr>
        <w:t xml:space="preserve"> </w:t>
      </w:r>
    </w:p>
    <w:p w14:paraId="208D50E1" w14:textId="4506613D" w:rsidR="009F2C19" w:rsidRPr="001224D7" w:rsidRDefault="008F219D" w:rsidP="008F219D">
      <w:pPr>
        <w:pStyle w:val="Ttulo3"/>
        <w:jc w:val="both"/>
        <w:rPr>
          <w:b w:val="0"/>
          <w:lang w:val="en-US"/>
        </w:rPr>
      </w:pPr>
      <w:r w:rsidRPr="001224D7">
        <w:rPr>
          <w:lang w:val="en-US"/>
        </w:rPr>
        <w:t>Conclusions</w:t>
      </w:r>
      <w:r w:rsidRPr="001224D7">
        <w:rPr>
          <w:b w:val="0"/>
          <w:lang w:val="en-US"/>
        </w:rPr>
        <w:t>:</w:t>
      </w:r>
      <w:r w:rsidR="00152AD6" w:rsidRPr="001224D7">
        <w:rPr>
          <w:lang w:val="en-US"/>
        </w:rPr>
        <w:t xml:space="preserve"> </w:t>
      </w:r>
      <w:r w:rsidR="00152AD6" w:rsidRPr="001224D7">
        <w:rPr>
          <w:b w:val="0"/>
          <w:lang w:val="en-US"/>
        </w:rPr>
        <w:t>Obesity constitutes a major surgical risk</w:t>
      </w:r>
      <w:r w:rsidR="0070745C" w:rsidRPr="001224D7">
        <w:rPr>
          <w:b w:val="0"/>
          <w:lang w:val="en-US"/>
        </w:rPr>
        <w:t>. In spite of the</w:t>
      </w:r>
      <w:r w:rsidR="00152AD6" w:rsidRPr="001224D7">
        <w:rPr>
          <w:b w:val="0"/>
          <w:lang w:val="en-US"/>
        </w:rPr>
        <w:t xml:space="preserve"> difference in clinical results is not very important, it causes longer interventions and higher incidence of surgical complications.</w:t>
      </w:r>
    </w:p>
    <w:p w14:paraId="7BACA0DC" w14:textId="77777777" w:rsidR="004A6266" w:rsidRPr="001224D7" w:rsidRDefault="004A6266" w:rsidP="008F219D">
      <w:pPr>
        <w:spacing w:after="0" w:line="360" w:lineRule="auto"/>
        <w:jc w:val="both"/>
        <w:rPr>
          <w:rFonts w:ascii="Arial" w:eastAsia="Calibri" w:hAnsi="Arial" w:cs="Arial"/>
          <w:b/>
          <w:sz w:val="24"/>
          <w:szCs w:val="24"/>
        </w:rPr>
      </w:pPr>
    </w:p>
    <w:p w14:paraId="4C0E4ED1" w14:textId="5677F951" w:rsidR="007C13AA" w:rsidRPr="001224D7" w:rsidRDefault="00152AD6" w:rsidP="008F219D">
      <w:pPr>
        <w:spacing w:after="0" w:line="360" w:lineRule="auto"/>
        <w:jc w:val="both"/>
        <w:rPr>
          <w:rFonts w:ascii="Arial" w:eastAsia="Calibri" w:hAnsi="Arial" w:cs="Arial"/>
          <w:color w:val="002060"/>
          <w:sz w:val="24"/>
          <w:szCs w:val="24"/>
        </w:rPr>
      </w:pPr>
      <w:r w:rsidRPr="001224D7">
        <w:rPr>
          <w:rFonts w:ascii="Arial" w:eastAsia="Calibri" w:hAnsi="Arial" w:cs="Arial"/>
          <w:b/>
          <w:color w:val="002060"/>
          <w:sz w:val="24"/>
          <w:szCs w:val="24"/>
        </w:rPr>
        <w:t>Keywords</w:t>
      </w:r>
      <w:r w:rsidRPr="001224D7">
        <w:rPr>
          <w:rFonts w:ascii="Arial" w:eastAsia="Calibri" w:hAnsi="Arial" w:cs="Arial"/>
          <w:color w:val="002060"/>
          <w:sz w:val="24"/>
          <w:szCs w:val="24"/>
        </w:rPr>
        <w:t>: degenerative lumbar stenosis; obesity; complications; functional results.</w:t>
      </w:r>
    </w:p>
    <w:p w14:paraId="5BF2964B" w14:textId="77777777" w:rsidR="007C13AA" w:rsidRPr="001224D7" w:rsidRDefault="007C13AA" w:rsidP="008F219D">
      <w:pPr>
        <w:spacing w:after="0" w:line="360" w:lineRule="auto"/>
        <w:jc w:val="both"/>
        <w:rPr>
          <w:rFonts w:ascii="Arial" w:hAnsi="Arial" w:cs="Arial"/>
          <w:b/>
          <w:sz w:val="24"/>
          <w:szCs w:val="24"/>
        </w:rPr>
      </w:pPr>
    </w:p>
    <w:p w14:paraId="72E20D91" w14:textId="77777777" w:rsidR="00CA393C" w:rsidRPr="001224D7" w:rsidRDefault="00CA393C">
      <w:pPr>
        <w:rPr>
          <w:rFonts w:ascii="Arial" w:hAnsi="Arial" w:cs="Arial"/>
          <w:b/>
          <w:sz w:val="24"/>
          <w:szCs w:val="24"/>
        </w:rPr>
      </w:pPr>
      <w:r w:rsidRPr="001224D7">
        <w:rPr>
          <w:rFonts w:ascii="Arial" w:hAnsi="Arial" w:cs="Arial"/>
          <w:b/>
          <w:sz w:val="24"/>
          <w:szCs w:val="24"/>
        </w:rPr>
        <w:br w:type="page"/>
      </w:r>
    </w:p>
    <w:p w14:paraId="54570DF7" w14:textId="77777777" w:rsidR="00CA393C" w:rsidRPr="001224D7" w:rsidRDefault="007C13AA" w:rsidP="008F219D">
      <w:pPr>
        <w:spacing w:after="0" w:line="360" w:lineRule="auto"/>
        <w:jc w:val="both"/>
        <w:rPr>
          <w:rFonts w:ascii="Arial" w:hAnsi="Arial" w:cs="Arial"/>
          <w:b/>
          <w:color w:val="002060"/>
          <w:sz w:val="24"/>
          <w:szCs w:val="24"/>
        </w:rPr>
      </w:pPr>
      <w:r w:rsidRPr="001224D7">
        <w:rPr>
          <w:rFonts w:ascii="Arial" w:hAnsi="Arial" w:cs="Arial"/>
          <w:b/>
          <w:color w:val="002060"/>
          <w:sz w:val="24"/>
          <w:szCs w:val="24"/>
        </w:rPr>
        <w:lastRenderedPageBreak/>
        <w:t>Art. 309</w:t>
      </w:r>
    </w:p>
    <w:p w14:paraId="686CB9FD" w14:textId="7EDF0242" w:rsidR="00CA393C" w:rsidRPr="001224D7" w:rsidRDefault="00CA393C" w:rsidP="00CA393C">
      <w:pPr>
        <w:pStyle w:val="Textoindependiente"/>
        <w:rPr>
          <w:lang w:val="en-US"/>
        </w:rPr>
      </w:pPr>
      <w:r w:rsidRPr="001224D7">
        <w:rPr>
          <w:lang w:val="en-US"/>
        </w:rPr>
        <w:t>Treatment of Supracondylar Fractures of the Humerus in Children and Percutaneous Internal Fixation versus Reduction with No Internal Fixation</w:t>
      </w:r>
    </w:p>
    <w:p w14:paraId="3DA379CE" w14:textId="1078B1A4" w:rsidR="007C13AA" w:rsidRPr="001224D7" w:rsidRDefault="007C13AA" w:rsidP="008F219D">
      <w:pPr>
        <w:spacing w:after="0" w:line="360" w:lineRule="auto"/>
        <w:jc w:val="both"/>
        <w:rPr>
          <w:rFonts w:ascii="Arial" w:hAnsi="Arial" w:cs="Arial"/>
          <w:b/>
          <w:sz w:val="24"/>
          <w:szCs w:val="24"/>
        </w:rPr>
      </w:pPr>
      <w:r w:rsidRPr="001224D7">
        <w:rPr>
          <w:rFonts w:ascii="Arial" w:hAnsi="Arial" w:cs="Arial"/>
          <w:b/>
          <w:sz w:val="24"/>
          <w:szCs w:val="24"/>
        </w:rPr>
        <w:t>Tratamiento de las fracturas supracondíleas de húmero en niños y fijación interna percutánea versus reducción sin fijación interna</w:t>
      </w:r>
    </w:p>
    <w:p w14:paraId="5BD22E6E" w14:textId="77777777" w:rsidR="00CA393C" w:rsidRPr="001224D7" w:rsidRDefault="00CA393C" w:rsidP="00CA393C">
      <w:pPr>
        <w:pStyle w:val="Ttulo2"/>
        <w:tabs>
          <w:tab w:val="clear" w:pos="5748"/>
        </w:tabs>
        <w:rPr>
          <w:rFonts w:eastAsia="Times New Roman"/>
          <w:lang w:val="en-US" w:eastAsia="es-EC"/>
        </w:rPr>
      </w:pPr>
      <w:r w:rsidRPr="001224D7">
        <w:rPr>
          <w:rFonts w:eastAsia="Times New Roman"/>
          <w:lang w:val="en-US" w:eastAsia="es-EC"/>
        </w:rPr>
        <w:t>ABSTRACT</w:t>
      </w:r>
    </w:p>
    <w:p w14:paraId="179844DE" w14:textId="77777777" w:rsidR="004F757C" w:rsidRPr="001224D7" w:rsidRDefault="004F757C" w:rsidP="008F219D">
      <w:pPr>
        <w:spacing w:after="0" w:line="360" w:lineRule="auto"/>
        <w:jc w:val="both"/>
      </w:pPr>
      <w:r w:rsidRPr="001224D7">
        <w:rPr>
          <w:rFonts w:ascii="Arial" w:eastAsia="Times New Roman" w:hAnsi="Arial" w:cs="Arial"/>
          <w:b/>
          <w:color w:val="002060"/>
          <w:sz w:val="24"/>
          <w:szCs w:val="24"/>
          <w:lang w:eastAsia="es-EC"/>
        </w:rPr>
        <w:t xml:space="preserve">Introduction: </w:t>
      </w:r>
      <w:r w:rsidRPr="001224D7">
        <w:rPr>
          <w:rFonts w:ascii="Arial" w:eastAsia="Times New Roman" w:hAnsi="Arial" w:cs="Arial"/>
          <w:color w:val="002060"/>
          <w:sz w:val="24"/>
          <w:szCs w:val="24"/>
          <w:lang w:eastAsia="es-EC"/>
        </w:rPr>
        <w:t xml:space="preserve">Supracondylar fractures of the humerus are the second most frequent type of fractures in children. The worldwide prevalence ranges between 3 and 16%, with </w:t>
      </w:r>
      <w:r w:rsidRPr="001224D7">
        <w:rPr>
          <w:rFonts w:ascii="Arial" w:eastAsia="Times New Roman" w:hAnsi="Arial" w:cs="Arial"/>
          <w:color w:val="002060"/>
          <w:sz w:val="24"/>
          <w:szCs w:val="24"/>
          <w:lang w:eastAsia="es-EC"/>
        </w:rPr>
        <w:t>male</w:t>
      </w:r>
      <w:r w:rsidRPr="001224D7">
        <w:rPr>
          <w:rFonts w:ascii="Arial" w:eastAsia="Times New Roman" w:hAnsi="Arial" w:cs="Arial"/>
          <w:color w:val="002060"/>
          <w:sz w:val="24"/>
          <w:szCs w:val="24"/>
          <w:lang w:eastAsia="es-EC"/>
        </w:rPr>
        <w:t xml:space="preserve"> predominance. The urgency of immediate care lies in the prevention of complications and sequelae.</w:t>
      </w:r>
    </w:p>
    <w:p w14:paraId="131215A7" w14:textId="77777777" w:rsidR="004F757C" w:rsidRPr="001224D7" w:rsidRDefault="004F757C" w:rsidP="008F219D">
      <w:pPr>
        <w:spacing w:after="0" w:line="360" w:lineRule="auto"/>
        <w:jc w:val="both"/>
      </w:pPr>
      <w:r w:rsidRPr="001224D7">
        <w:rPr>
          <w:rFonts w:ascii="Arial" w:eastAsia="Times New Roman" w:hAnsi="Arial" w:cs="Arial"/>
          <w:b/>
          <w:color w:val="002060"/>
          <w:sz w:val="24"/>
          <w:szCs w:val="24"/>
          <w:lang w:eastAsia="es-EC"/>
        </w:rPr>
        <w:t>Objective</w:t>
      </w:r>
      <w:r w:rsidRPr="001224D7">
        <w:rPr>
          <w:rFonts w:ascii="Arial" w:eastAsia="Times New Roman" w:hAnsi="Arial" w:cs="Arial"/>
          <w:color w:val="002060"/>
          <w:sz w:val="24"/>
          <w:szCs w:val="24"/>
          <w:lang w:eastAsia="es-EC"/>
        </w:rPr>
        <w:t>: To describe the results of the treatment of supracondylar fractures of the humerus in children with percutaneous internal fixation.</w:t>
      </w:r>
    </w:p>
    <w:p w14:paraId="75A71DA8" w14:textId="77777777" w:rsidR="0009564D" w:rsidRPr="001224D7" w:rsidRDefault="004F757C" w:rsidP="008F219D">
      <w:pPr>
        <w:spacing w:after="0" w:line="360" w:lineRule="auto"/>
        <w:jc w:val="both"/>
      </w:pPr>
      <w:r w:rsidRPr="001224D7">
        <w:rPr>
          <w:rFonts w:ascii="Arial" w:eastAsia="Times New Roman" w:hAnsi="Arial" w:cs="Arial"/>
          <w:b/>
          <w:color w:val="002060"/>
          <w:sz w:val="24"/>
          <w:szCs w:val="24"/>
          <w:lang w:eastAsia="es-EC"/>
        </w:rPr>
        <w:t>Methods</w:t>
      </w:r>
      <w:r w:rsidRPr="001224D7">
        <w:rPr>
          <w:rFonts w:ascii="Arial" w:eastAsia="Times New Roman" w:hAnsi="Arial" w:cs="Arial"/>
          <w:color w:val="002060"/>
          <w:sz w:val="24"/>
          <w:szCs w:val="24"/>
          <w:lang w:eastAsia="es-EC"/>
        </w:rPr>
        <w:t xml:space="preserve">: A retrospective descriptive study was carried out in </w:t>
      </w:r>
      <w:r w:rsidR="0009564D" w:rsidRPr="001224D7">
        <w:rPr>
          <w:rFonts w:ascii="Arial" w:eastAsia="Times New Roman" w:hAnsi="Arial" w:cs="Arial"/>
          <w:color w:val="002060"/>
          <w:sz w:val="24"/>
          <w:szCs w:val="24"/>
          <w:lang w:eastAsia="es-EC"/>
        </w:rPr>
        <w:t>children</w:t>
      </w:r>
      <w:r w:rsidR="0009564D" w:rsidRPr="001224D7">
        <w:rPr>
          <w:rFonts w:ascii="Arial" w:eastAsia="Times New Roman" w:hAnsi="Arial" w:cs="Arial"/>
          <w:color w:val="002060"/>
          <w:sz w:val="24"/>
          <w:szCs w:val="24"/>
          <w:lang w:eastAsia="es-EC"/>
        </w:rPr>
        <w:t xml:space="preserve"> who had</w:t>
      </w:r>
      <w:r w:rsidRPr="001224D7">
        <w:rPr>
          <w:rFonts w:ascii="Arial" w:eastAsia="Times New Roman" w:hAnsi="Arial" w:cs="Arial"/>
          <w:color w:val="002060"/>
          <w:sz w:val="24"/>
          <w:szCs w:val="24"/>
          <w:lang w:eastAsia="es-EC"/>
        </w:rPr>
        <w:t xml:space="preserve"> supracondylar fractures of the humerus</w:t>
      </w:r>
      <w:r w:rsidR="0009564D" w:rsidRPr="001224D7">
        <w:rPr>
          <w:rFonts w:ascii="Arial" w:eastAsia="Times New Roman" w:hAnsi="Arial" w:cs="Arial"/>
          <w:color w:val="002060"/>
          <w:sz w:val="24"/>
          <w:szCs w:val="24"/>
          <w:lang w:eastAsia="es-EC"/>
        </w:rPr>
        <w:t xml:space="preserve">. They were </w:t>
      </w:r>
      <w:r w:rsidRPr="001224D7">
        <w:rPr>
          <w:rFonts w:ascii="Arial" w:eastAsia="Times New Roman" w:hAnsi="Arial" w:cs="Arial"/>
          <w:color w:val="002060"/>
          <w:sz w:val="24"/>
          <w:szCs w:val="24"/>
          <w:lang w:eastAsia="es-EC"/>
        </w:rPr>
        <w:t>treated at Carlos Manuel de Céspedes Hospital</w:t>
      </w:r>
      <w:r w:rsidR="0009564D" w:rsidRPr="001224D7">
        <w:rPr>
          <w:rFonts w:ascii="Arial" w:eastAsia="Times New Roman" w:hAnsi="Arial" w:cs="Arial"/>
          <w:color w:val="002060"/>
          <w:sz w:val="24"/>
          <w:szCs w:val="24"/>
          <w:lang w:eastAsia="es-EC"/>
        </w:rPr>
        <w:t>,</w:t>
      </w:r>
      <w:r w:rsidRPr="001224D7">
        <w:rPr>
          <w:rFonts w:ascii="Arial" w:eastAsia="Times New Roman" w:hAnsi="Arial" w:cs="Arial"/>
          <w:color w:val="002060"/>
          <w:sz w:val="24"/>
          <w:szCs w:val="24"/>
          <w:lang w:eastAsia="es-EC"/>
        </w:rPr>
        <w:t xml:space="preserve"> in Bayamo, </w:t>
      </w:r>
      <w:r w:rsidR="0009564D" w:rsidRPr="001224D7">
        <w:rPr>
          <w:rFonts w:ascii="Arial" w:eastAsia="Times New Roman" w:hAnsi="Arial" w:cs="Arial"/>
          <w:color w:val="002060"/>
          <w:sz w:val="24"/>
          <w:szCs w:val="24"/>
          <w:lang w:eastAsia="es-EC"/>
        </w:rPr>
        <w:t>from</w:t>
      </w:r>
      <w:r w:rsidRPr="001224D7">
        <w:rPr>
          <w:rFonts w:ascii="Arial" w:eastAsia="Times New Roman" w:hAnsi="Arial" w:cs="Arial"/>
          <w:color w:val="002060"/>
          <w:sz w:val="24"/>
          <w:szCs w:val="24"/>
          <w:lang w:eastAsia="es-EC"/>
        </w:rPr>
        <w:t xml:space="preserve"> 2018 </w:t>
      </w:r>
      <w:r w:rsidR="0009564D" w:rsidRPr="001224D7">
        <w:rPr>
          <w:rFonts w:ascii="Arial" w:eastAsia="Times New Roman" w:hAnsi="Arial" w:cs="Arial"/>
          <w:color w:val="002060"/>
          <w:sz w:val="24"/>
          <w:szCs w:val="24"/>
          <w:lang w:eastAsia="es-EC"/>
        </w:rPr>
        <w:t>to</w:t>
      </w:r>
      <w:r w:rsidRPr="001224D7">
        <w:rPr>
          <w:rFonts w:ascii="Arial" w:eastAsia="Times New Roman" w:hAnsi="Arial" w:cs="Arial"/>
          <w:color w:val="002060"/>
          <w:sz w:val="24"/>
          <w:szCs w:val="24"/>
          <w:lang w:eastAsia="es-EC"/>
        </w:rPr>
        <w:t xml:space="preserve"> 2019. Absolute frequencies and percentages were calculated. The </w:t>
      </w:r>
      <w:r w:rsidR="0009564D" w:rsidRPr="001224D7">
        <w:rPr>
          <w:rFonts w:ascii="Arial" w:eastAsia="Times New Roman" w:hAnsi="Arial" w:cs="Arial"/>
          <w:color w:val="002060"/>
          <w:sz w:val="24"/>
          <w:szCs w:val="24"/>
          <w:lang w:eastAsia="es-EC"/>
        </w:rPr>
        <w:t>evaluated</w:t>
      </w:r>
      <w:r w:rsidR="0009564D" w:rsidRPr="001224D7">
        <w:rPr>
          <w:rFonts w:ascii="Arial" w:eastAsia="Times New Roman" w:hAnsi="Arial" w:cs="Arial"/>
          <w:color w:val="002060"/>
          <w:sz w:val="24"/>
          <w:szCs w:val="24"/>
          <w:lang w:eastAsia="es-EC"/>
        </w:rPr>
        <w:t xml:space="preserve"> </w:t>
      </w:r>
      <w:r w:rsidRPr="001224D7">
        <w:rPr>
          <w:rFonts w:ascii="Arial" w:eastAsia="Times New Roman" w:hAnsi="Arial" w:cs="Arial"/>
          <w:color w:val="002060"/>
          <w:sz w:val="24"/>
          <w:szCs w:val="24"/>
          <w:lang w:eastAsia="es-EC"/>
        </w:rPr>
        <w:t>variables were</w:t>
      </w:r>
      <w:r w:rsidR="0009564D" w:rsidRPr="001224D7">
        <w:rPr>
          <w:rFonts w:ascii="Arial" w:eastAsia="Times New Roman" w:hAnsi="Arial" w:cs="Arial"/>
          <w:color w:val="002060"/>
          <w:sz w:val="24"/>
          <w:szCs w:val="24"/>
          <w:lang w:eastAsia="es-EC"/>
        </w:rPr>
        <w:t xml:space="preserve"> </w:t>
      </w:r>
      <w:r w:rsidRPr="001224D7">
        <w:rPr>
          <w:rFonts w:ascii="Arial" w:eastAsia="Times New Roman" w:hAnsi="Arial" w:cs="Arial"/>
          <w:color w:val="002060"/>
          <w:sz w:val="24"/>
          <w:szCs w:val="24"/>
          <w:lang w:eastAsia="es-EC"/>
        </w:rPr>
        <w:t>age, sex, type of treatment used, complications, and final results obtained.</w:t>
      </w:r>
    </w:p>
    <w:p w14:paraId="3A77A710" w14:textId="32E8EAC8" w:rsidR="004F757C" w:rsidRPr="001224D7" w:rsidRDefault="0009564D" w:rsidP="008F219D">
      <w:pPr>
        <w:spacing w:after="0" w:line="360" w:lineRule="auto"/>
        <w:jc w:val="both"/>
        <w:rPr>
          <w:rFonts w:ascii="Arial" w:eastAsia="Times New Roman" w:hAnsi="Arial" w:cs="Arial"/>
          <w:color w:val="002060"/>
          <w:sz w:val="24"/>
          <w:szCs w:val="24"/>
          <w:lang w:eastAsia="es-EC"/>
        </w:rPr>
      </w:pPr>
      <w:r w:rsidRPr="001224D7">
        <w:rPr>
          <w:rFonts w:ascii="Arial" w:eastAsia="Times New Roman" w:hAnsi="Arial" w:cs="Arial"/>
          <w:b/>
          <w:color w:val="002060"/>
          <w:sz w:val="24"/>
          <w:szCs w:val="24"/>
          <w:lang w:eastAsia="es-EC"/>
        </w:rPr>
        <w:t>Results</w:t>
      </w:r>
      <w:r w:rsidRPr="001224D7">
        <w:rPr>
          <w:rFonts w:ascii="Arial" w:eastAsia="Times New Roman" w:hAnsi="Arial" w:cs="Arial"/>
          <w:color w:val="002060"/>
          <w:sz w:val="24"/>
          <w:szCs w:val="24"/>
          <w:lang w:eastAsia="es-EC"/>
        </w:rPr>
        <w:t>: Supracondylar fractures of the humerus were more frequent in males (69.6%) and in the age group between 6 and 10 years for both sexes. 60.8% of these fractures were treated with reduction and internal fixation with Kirchner wires. In the group with internal fixation, type IV predominated, and in the group that did not require internal fixation, type I predominated. In general, patients with internal fixation had excellent and good results.</w:t>
      </w:r>
    </w:p>
    <w:p w14:paraId="71585C61" w14:textId="77777777" w:rsidR="00CA393C" w:rsidRPr="001224D7" w:rsidRDefault="00CA393C" w:rsidP="008F219D">
      <w:pPr>
        <w:spacing w:after="0" w:line="360" w:lineRule="auto"/>
        <w:jc w:val="both"/>
        <w:rPr>
          <w:rFonts w:ascii="Arial" w:eastAsia="Times New Roman" w:hAnsi="Arial" w:cs="Arial"/>
          <w:b/>
          <w:color w:val="002060"/>
          <w:sz w:val="24"/>
          <w:szCs w:val="24"/>
          <w:lang w:eastAsia="es-EC"/>
        </w:rPr>
      </w:pPr>
      <w:r w:rsidRPr="001224D7">
        <w:rPr>
          <w:rFonts w:ascii="Arial" w:eastAsia="Times New Roman" w:hAnsi="Arial" w:cs="Arial"/>
          <w:b/>
          <w:color w:val="002060"/>
          <w:sz w:val="24"/>
          <w:szCs w:val="24"/>
          <w:lang w:eastAsia="es-EC"/>
        </w:rPr>
        <w:t xml:space="preserve">Conclusions: </w:t>
      </w:r>
      <w:r w:rsidRPr="001224D7">
        <w:rPr>
          <w:rFonts w:ascii="Arial" w:eastAsia="Times New Roman" w:hAnsi="Arial" w:cs="Arial"/>
          <w:color w:val="002060"/>
          <w:sz w:val="24"/>
          <w:szCs w:val="24"/>
          <w:lang w:eastAsia="es-EC"/>
        </w:rPr>
        <w:t>Better results were obtained in patients who underwent reduction combined with internal fixation.</w:t>
      </w:r>
    </w:p>
    <w:p w14:paraId="64F52D82" w14:textId="77777777" w:rsidR="00CA393C" w:rsidRPr="001224D7" w:rsidRDefault="00CA393C" w:rsidP="008F219D">
      <w:pPr>
        <w:spacing w:after="0" w:line="360" w:lineRule="auto"/>
        <w:jc w:val="both"/>
        <w:rPr>
          <w:rFonts w:ascii="Arial" w:eastAsia="Times New Roman" w:hAnsi="Arial" w:cs="Arial"/>
          <w:b/>
          <w:color w:val="002060"/>
          <w:sz w:val="24"/>
          <w:szCs w:val="24"/>
          <w:lang w:eastAsia="es-EC"/>
        </w:rPr>
      </w:pPr>
    </w:p>
    <w:p w14:paraId="619CD3E9" w14:textId="65DCDC1D" w:rsidR="007C13AA" w:rsidRPr="001224D7" w:rsidRDefault="00CA393C" w:rsidP="008F219D">
      <w:pPr>
        <w:spacing w:after="0" w:line="360" w:lineRule="auto"/>
        <w:jc w:val="both"/>
        <w:rPr>
          <w:rFonts w:ascii="Arial" w:eastAsia="Times New Roman" w:hAnsi="Arial" w:cs="Arial"/>
          <w:color w:val="002060"/>
          <w:sz w:val="24"/>
          <w:szCs w:val="24"/>
          <w:lang w:eastAsia="es-EC"/>
        </w:rPr>
      </w:pPr>
      <w:r w:rsidRPr="001224D7">
        <w:rPr>
          <w:rFonts w:ascii="Arial" w:eastAsia="Times New Roman" w:hAnsi="Arial" w:cs="Arial"/>
          <w:b/>
          <w:color w:val="002060"/>
          <w:sz w:val="24"/>
          <w:szCs w:val="24"/>
          <w:lang w:eastAsia="es-EC"/>
        </w:rPr>
        <w:t>Keywords</w:t>
      </w:r>
      <w:r w:rsidRPr="001224D7">
        <w:rPr>
          <w:rFonts w:ascii="Arial" w:eastAsia="Times New Roman" w:hAnsi="Arial" w:cs="Arial"/>
          <w:color w:val="002060"/>
          <w:sz w:val="24"/>
          <w:szCs w:val="24"/>
          <w:lang w:eastAsia="es-EC"/>
        </w:rPr>
        <w:t>: supracondylar fracture of the humerus; children.</w:t>
      </w:r>
    </w:p>
    <w:p w14:paraId="587A69AF" w14:textId="77777777" w:rsidR="007C13AA" w:rsidRPr="001224D7" w:rsidRDefault="007C13AA" w:rsidP="008F219D">
      <w:pPr>
        <w:spacing w:after="0" w:line="360" w:lineRule="auto"/>
        <w:jc w:val="both"/>
        <w:rPr>
          <w:rFonts w:ascii="Arial" w:hAnsi="Arial" w:cs="Arial"/>
          <w:b/>
          <w:sz w:val="24"/>
          <w:szCs w:val="24"/>
        </w:rPr>
      </w:pPr>
    </w:p>
    <w:p w14:paraId="662E469C" w14:textId="77777777" w:rsidR="0001040D" w:rsidRPr="001224D7" w:rsidRDefault="007C13AA" w:rsidP="008F219D">
      <w:pPr>
        <w:pStyle w:val="Ttulo1"/>
        <w:spacing w:after="0"/>
        <w:rPr>
          <w:color w:val="002060"/>
          <w:lang w:val="en-US"/>
        </w:rPr>
      </w:pPr>
      <w:r w:rsidRPr="001224D7">
        <w:rPr>
          <w:color w:val="002060"/>
          <w:lang w:val="en-US"/>
        </w:rPr>
        <w:lastRenderedPageBreak/>
        <w:t>Art. 321</w:t>
      </w:r>
    </w:p>
    <w:p w14:paraId="4250FBB9" w14:textId="78A6DEEF" w:rsidR="0001040D" w:rsidRPr="001224D7" w:rsidRDefault="0001040D" w:rsidP="008F219D">
      <w:pPr>
        <w:pStyle w:val="Ttulo1"/>
        <w:spacing w:after="0"/>
        <w:rPr>
          <w:color w:val="002060"/>
          <w:lang w:val="en-US"/>
        </w:rPr>
      </w:pPr>
      <w:r w:rsidRPr="001224D7">
        <w:rPr>
          <w:color w:val="002060"/>
          <w:lang w:val="en-US"/>
        </w:rPr>
        <w:t>Unicameral Bone Cyst of the Calcaneus</w:t>
      </w:r>
    </w:p>
    <w:p w14:paraId="76378FDB" w14:textId="37D5C5F1" w:rsidR="007C13AA" w:rsidRPr="001224D7" w:rsidRDefault="007C13AA" w:rsidP="008F219D">
      <w:pPr>
        <w:pStyle w:val="Ttulo1"/>
        <w:spacing w:after="0"/>
        <w:rPr>
          <w:lang w:val="en-US"/>
        </w:rPr>
      </w:pPr>
      <w:r w:rsidRPr="001224D7">
        <w:rPr>
          <w:lang w:val="en-US"/>
        </w:rPr>
        <w:t>Quiste óseo unicameral de calcáneo derecho</w:t>
      </w:r>
    </w:p>
    <w:p w14:paraId="44736D06" w14:textId="77777777" w:rsidR="00CA62F5" w:rsidRPr="001224D7" w:rsidRDefault="0001040D" w:rsidP="00CA62F5">
      <w:pPr>
        <w:pStyle w:val="Ttulo2"/>
        <w:tabs>
          <w:tab w:val="clear" w:pos="5748"/>
        </w:tabs>
        <w:rPr>
          <w:rFonts w:eastAsia="Times New Roman"/>
          <w:bCs/>
          <w:lang w:val="en-US" w:eastAsia="es-ES"/>
        </w:rPr>
      </w:pPr>
      <w:r w:rsidRPr="001224D7">
        <w:rPr>
          <w:rFonts w:eastAsia="Times New Roman"/>
          <w:bCs/>
          <w:lang w:val="en-US" w:eastAsia="es-ES"/>
        </w:rPr>
        <w:t>ABSTRACT</w:t>
      </w:r>
    </w:p>
    <w:p w14:paraId="23FBDDF4" w14:textId="77777777" w:rsidR="001224D7" w:rsidRDefault="00CA62F5" w:rsidP="00CA62F5">
      <w:pPr>
        <w:pStyle w:val="Ttulo2"/>
        <w:tabs>
          <w:tab w:val="clear" w:pos="5748"/>
        </w:tabs>
      </w:pPr>
      <w:r w:rsidRPr="001224D7">
        <w:rPr>
          <w:rFonts w:eastAsia="Times New Roman"/>
          <w:bCs/>
          <w:lang w:val="en-US" w:eastAsia="es-ES"/>
        </w:rPr>
        <w:t xml:space="preserve">Introduction: </w:t>
      </w:r>
      <w:r w:rsidRPr="001224D7">
        <w:rPr>
          <w:rFonts w:eastAsia="Times New Roman"/>
          <w:b w:val="0"/>
          <w:bCs/>
          <w:lang w:val="en-US" w:eastAsia="es-ES"/>
        </w:rPr>
        <w:t>The unicameral bone cyst is a benign pseudotumo</w:t>
      </w:r>
      <w:r w:rsidR="001224D7" w:rsidRPr="001224D7">
        <w:rPr>
          <w:rFonts w:eastAsia="Times New Roman"/>
          <w:b w:val="0"/>
          <w:bCs/>
          <w:lang w:val="en-US" w:eastAsia="es-ES"/>
        </w:rPr>
        <w:t xml:space="preserve">ral lesion with liquid content representing </w:t>
      </w:r>
      <w:r w:rsidRPr="001224D7">
        <w:rPr>
          <w:rFonts w:eastAsia="Times New Roman"/>
          <w:b w:val="0"/>
          <w:bCs/>
          <w:lang w:val="en-US" w:eastAsia="es-ES"/>
        </w:rPr>
        <w:t>3% of all primary tumors. The calcaneus is a rare location and the tarsus is the most affected bone.</w:t>
      </w:r>
    </w:p>
    <w:p w14:paraId="26442206" w14:textId="77777777" w:rsidR="004F17DB" w:rsidRDefault="001224D7" w:rsidP="00CA62F5">
      <w:pPr>
        <w:pStyle w:val="Ttulo2"/>
        <w:tabs>
          <w:tab w:val="clear" w:pos="5748"/>
        </w:tabs>
      </w:pPr>
      <w:r w:rsidRPr="001224D7">
        <w:rPr>
          <w:rFonts w:eastAsia="Times New Roman"/>
          <w:bCs/>
          <w:lang w:val="en-US" w:eastAsia="es-ES"/>
        </w:rPr>
        <w:t xml:space="preserve">Objective: </w:t>
      </w:r>
      <w:r w:rsidRPr="001224D7">
        <w:rPr>
          <w:rFonts w:eastAsia="Times New Roman"/>
          <w:b w:val="0"/>
          <w:bCs/>
          <w:lang w:val="en-US" w:eastAsia="es-ES"/>
        </w:rPr>
        <w:t xml:space="preserve">To </w:t>
      </w:r>
      <w:r>
        <w:rPr>
          <w:rFonts w:eastAsia="Times New Roman"/>
          <w:b w:val="0"/>
          <w:bCs/>
          <w:lang w:val="en-US" w:eastAsia="es-ES"/>
        </w:rPr>
        <w:t>report</w:t>
      </w:r>
      <w:r w:rsidRPr="001224D7">
        <w:rPr>
          <w:rFonts w:eastAsia="Times New Roman"/>
          <w:b w:val="0"/>
          <w:bCs/>
          <w:lang w:val="en-US" w:eastAsia="es-ES"/>
        </w:rPr>
        <w:t xml:space="preserve"> a case of unicameral bone cyst of the right calcaneus that was diagnosed and treated at Manuel Ascunce Domenech University Hospital in Camagüey</w:t>
      </w:r>
      <w:r w:rsidR="004F17DB">
        <w:rPr>
          <w:rFonts w:eastAsia="Times New Roman"/>
          <w:b w:val="0"/>
          <w:bCs/>
          <w:lang w:val="en-US" w:eastAsia="es-ES"/>
        </w:rPr>
        <w:t xml:space="preserve">. Clinical </w:t>
      </w:r>
      <w:r w:rsidRPr="001224D7">
        <w:rPr>
          <w:rFonts w:eastAsia="Times New Roman"/>
          <w:b w:val="0"/>
          <w:bCs/>
          <w:lang w:val="en-US" w:eastAsia="es-ES"/>
        </w:rPr>
        <w:t>evolution</w:t>
      </w:r>
      <w:r w:rsidR="004F17DB">
        <w:rPr>
          <w:rFonts w:eastAsia="Times New Roman"/>
          <w:b w:val="0"/>
          <w:bCs/>
          <w:lang w:val="en-US" w:eastAsia="es-ES"/>
        </w:rPr>
        <w:t xml:space="preserve"> was</w:t>
      </w:r>
      <w:r w:rsidR="004F17DB" w:rsidRPr="004F17DB">
        <w:rPr>
          <w:rFonts w:eastAsia="Times New Roman"/>
          <w:b w:val="0"/>
          <w:bCs/>
          <w:lang w:val="en-US" w:eastAsia="es-ES"/>
        </w:rPr>
        <w:t xml:space="preserve"> </w:t>
      </w:r>
      <w:r w:rsidR="004F17DB" w:rsidRPr="001224D7">
        <w:rPr>
          <w:rFonts w:eastAsia="Times New Roman"/>
          <w:b w:val="0"/>
          <w:bCs/>
          <w:lang w:val="en-US" w:eastAsia="es-ES"/>
        </w:rPr>
        <w:t>favorable</w:t>
      </w:r>
      <w:r w:rsidRPr="001224D7">
        <w:rPr>
          <w:rFonts w:eastAsia="Times New Roman"/>
          <w:b w:val="0"/>
          <w:bCs/>
          <w:lang w:val="en-US" w:eastAsia="es-ES"/>
        </w:rPr>
        <w:t>.</w:t>
      </w:r>
    </w:p>
    <w:p w14:paraId="4F74D2B0" w14:textId="77777777" w:rsidR="004F17DB" w:rsidRDefault="004F17DB" w:rsidP="00CA62F5">
      <w:pPr>
        <w:pStyle w:val="Ttulo2"/>
        <w:tabs>
          <w:tab w:val="clear" w:pos="5748"/>
        </w:tabs>
        <w:rPr>
          <w:rFonts w:eastAsia="Times New Roman"/>
          <w:b w:val="0"/>
          <w:bCs/>
          <w:lang w:val="en-US" w:eastAsia="es-ES"/>
        </w:rPr>
      </w:pPr>
      <w:r w:rsidRPr="004F17DB">
        <w:rPr>
          <w:rFonts w:eastAsia="Times New Roman"/>
          <w:bCs/>
          <w:lang w:val="en-US" w:eastAsia="es-ES"/>
        </w:rPr>
        <w:t>Case report</w:t>
      </w:r>
      <w:r w:rsidRPr="004F17DB">
        <w:rPr>
          <w:rFonts w:eastAsia="Times New Roman"/>
          <w:b w:val="0"/>
          <w:bCs/>
          <w:lang w:val="en-US" w:eastAsia="es-ES"/>
        </w:rPr>
        <w:t xml:space="preserve">: </w:t>
      </w:r>
      <w:r>
        <w:rPr>
          <w:rFonts w:eastAsia="Times New Roman"/>
          <w:b w:val="0"/>
          <w:bCs/>
          <w:lang w:val="en-US" w:eastAsia="es-ES"/>
        </w:rPr>
        <w:t>We report the case of a</w:t>
      </w:r>
      <w:r w:rsidRPr="004F17DB">
        <w:rPr>
          <w:rFonts w:eastAsia="Times New Roman"/>
          <w:b w:val="0"/>
          <w:bCs/>
          <w:lang w:val="en-US" w:eastAsia="es-ES"/>
        </w:rPr>
        <w:t xml:space="preserve"> 22-year-old male patient, with a </w:t>
      </w:r>
      <w:r w:rsidRPr="004F17DB">
        <w:rPr>
          <w:rFonts w:eastAsia="Times New Roman"/>
          <w:b w:val="0"/>
          <w:bCs/>
          <w:lang w:val="en-US" w:eastAsia="es-ES"/>
        </w:rPr>
        <w:t xml:space="preserve">health </w:t>
      </w:r>
      <w:r w:rsidRPr="004F17DB">
        <w:rPr>
          <w:rFonts w:eastAsia="Times New Roman"/>
          <w:b w:val="0"/>
          <w:bCs/>
          <w:lang w:val="en-US" w:eastAsia="es-ES"/>
        </w:rPr>
        <w:t>history of pain in the right h</w:t>
      </w:r>
      <w:r>
        <w:rPr>
          <w:rFonts w:eastAsia="Times New Roman"/>
          <w:b w:val="0"/>
          <w:bCs/>
          <w:lang w:val="en-US" w:eastAsia="es-ES"/>
        </w:rPr>
        <w:t xml:space="preserve">eel of two months of evolution. This pain </w:t>
      </w:r>
      <w:r w:rsidRPr="004F17DB">
        <w:rPr>
          <w:rFonts w:eastAsia="Times New Roman"/>
          <w:b w:val="0"/>
          <w:bCs/>
          <w:lang w:val="en-US" w:eastAsia="es-ES"/>
        </w:rPr>
        <w:t xml:space="preserve">increased until it made it difficult for </w:t>
      </w:r>
      <w:r>
        <w:rPr>
          <w:rFonts w:eastAsia="Times New Roman"/>
          <w:b w:val="0"/>
          <w:bCs/>
          <w:lang w:val="en-US" w:eastAsia="es-ES"/>
        </w:rPr>
        <w:t>this patient</w:t>
      </w:r>
      <w:r w:rsidRPr="004F17DB">
        <w:rPr>
          <w:rFonts w:eastAsia="Times New Roman"/>
          <w:b w:val="0"/>
          <w:bCs/>
          <w:lang w:val="en-US" w:eastAsia="es-ES"/>
        </w:rPr>
        <w:t xml:space="preserve"> to walk. Physical examination revealed pain on palpation of the lateral aspect of the right heel, and no other data of interest was collected. Computerized axial tomography showed a wide, hypointense osteolytic lesion with an anterosuperior fracture, cortical thinning, and septation of the cyst chamber. Surgical treatment was decided for excision and biopsy sampling, reveal</w:t>
      </w:r>
      <w:r>
        <w:rPr>
          <w:rFonts w:eastAsia="Times New Roman"/>
          <w:b w:val="0"/>
          <w:bCs/>
          <w:lang w:val="en-US" w:eastAsia="es-ES"/>
        </w:rPr>
        <w:t>ing</w:t>
      </w:r>
      <w:r w:rsidRPr="004F17DB">
        <w:rPr>
          <w:rFonts w:eastAsia="Times New Roman"/>
          <w:b w:val="0"/>
          <w:bCs/>
          <w:lang w:val="en-US" w:eastAsia="es-ES"/>
        </w:rPr>
        <w:t xml:space="preserve"> vascularized fibrous tissue with osteoclasts, multinucleated giant cells, cholesterol crystals and hemosiderin, consistent with a unicameral bone cyst.</w:t>
      </w:r>
      <w:r w:rsidRPr="004F17DB">
        <w:t xml:space="preserve"> </w:t>
      </w:r>
      <w:r w:rsidRPr="004F17DB">
        <w:rPr>
          <w:rFonts w:eastAsia="Times New Roman"/>
          <w:bCs/>
          <w:lang w:val="en-US" w:eastAsia="es-ES"/>
        </w:rPr>
        <w:t>Conclusions</w:t>
      </w:r>
      <w:r w:rsidRPr="004F17DB">
        <w:rPr>
          <w:rFonts w:eastAsia="Times New Roman"/>
          <w:b w:val="0"/>
          <w:bCs/>
          <w:lang w:val="en-US" w:eastAsia="es-ES"/>
        </w:rPr>
        <w:t>: The unicameral bone cyst is a benign but potentially disabling pseudotumoral lesion</w:t>
      </w:r>
      <w:r>
        <w:rPr>
          <w:rFonts w:eastAsia="Times New Roman"/>
          <w:b w:val="0"/>
          <w:bCs/>
          <w:lang w:val="en-US" w:eastAsia="es-ES"/>
        </w:rPr>
        <w:t xml:space="preserve">. Its </w:t>
      </w:r>
      <w:r w:rsidRPr="004F17DB">
        <w:rPr>
          <w:rFonts w:eastAsia="Times New Roman"/>
          <w:b w:val="0"/>
          <w:bCs/>
          <w:lang w:val="en-US" w:eastAsia="es-ES"/>
        </w:rPr>
        <w:t xml:space="preserve">diagnosis may be fortuitous or due to some pathological fracture. Evacuation with wide curettage and bone grafting, or its derivatives, is the most widely used technique. The patient evolved favorably and </w:t>
      </w:r>
      <w:r>
        <w:rPr>
          <w:rFonts w:eastAsia="Times New Roman"/>
          <w:b w:val="0"/>
          <w:bCs/>
          <w:lang w:val="en-US" w:eastAsia="es-ES"/>
        </w:rPr>
        <w:t xml:space="preserve">he </w:t>
      </w:r>
      <w:r w:rsidRPr="004F17DB">
        <w:rPr>
          <w:rFonts w:eastAsia="Times New Roman"/>
          <w:b w:val="0"/>
          <w:bCs/>
          <w:lang w:val="en-US" w:eastAsia="es-ES"/>
        </w:rPr>
        <w:t>was classified as cured.</w:t>
      </w:r>
      <w:r w:rsidRPr="004F17DB">
        <w:t xml:space="preserve"> </w:t>
      </w:r>
    </w:p>
    <w:p w14:paraId="192D8BC8" w14:textId="77777777" w:rsidR="004F17DB" w:rsidRDefault="004F17DB" w:rsidP="00CA62F5">
      <w:pPr>
        <w:pStyle w:val="Ttulo2"/>
        <w:tabs>
          <w:tab w:val="clear" w:pos="5748"/>
        </w:tabs>
        <w:rPr>
          <w:rFonts w:eastAsia="Times New Roman"/>
          <w:b w:val="0"/>
          <w:bCs/>
          <w:lang w:val="en-US" w:eastAsia="es-ES"/>
        </w:rPr>
      </w:pPr>
    </w:p>
    <w:p w14:paraId="54554C98" w14:textId="4FC37A09" w:rsidR="0001040D" w:rsidRPr="001224D7" w:rsidRDefault="004F17DB" w:rsidP="00CA62F5">
      <w:pPr>
        <w:pStyle w:val="Ttulo2"/>
        <w:tabs>
          <w:tab w:val="clear" w:pos="5748"/>
        </w:tabs>
        <w:rPr>
          <w:rFonts w:eastAsia="Times New Roman"/>
          <w:b w:val="0"/>
          <w:bCs/>
          <w:lang w:val="en-US" w:eastAsia="es-ES"/>
        </w:rPr>
      </w:pPr>
      <w:r w:rsidRPr="004F17DB">
        <w:rPr>
          <w:rFonts w:eastAsia="Times New Roman"/>
          <w:bCs/>
          <w:lang w:val="en-US" w:eastAsia="es-ES"/>
        </w:rPr>
        <w:t>Keywords</w:t>
      </w:r>
      <w:r w:rsidRPr="004F17DB">
        <w:rPr>
          <w:rFonts w:eastAsia="Times New Roman"/>
          <w:b w:val="0"/>
          <w:bCs/>
          <w:lang w:val="en-US" w:eastAsia="es-ES"/>
        </w:rPr>
        <w:t>: bone cyst; biopsy; surgical treatment.</w:t>
      </w:r>
    </w:p>
    <w:p w14:paraId="79942D44" w14:textId="77777777" w:rsidR="0085330F" w:rsidRPr="004F17DB" w:rsidRDefault="0085330F" w:rsidP="008F219D">
      <w:pPr>
        <w:spacing w:after="0" w:line="360" w:lineRule="auto"/>
        <w:jc w:val="both"/>
        <w:rPr>
          <w:rFonts w:ascii="Arial" w:eastAsia="Times New Roman" w:hAnsi="Arial" w:cs="Arial"/>
          <w:color w:val="000000"/>
          <w:sz w:val="24"/>
          <w:szCs w:val="24"/>
          <w:lang w:val="es-ES" w:eastAsia="es-ES"/>
        </w:rPr>
      </w:pPr>
    </w:p>
    <w:p w14:paraId="2526D491" w14:textId="77777777" w:rsidR="007022E6" w:rsidRDefault="0085330F" w:rsidP="008F219D">
      <w:pPr>
        <w:spacing w:after="0" w:line="360" w:lineRule="auto"/>
        <w:jc w:val="both"/>
        <w:rPr>
          <w:rFonts w:ascii="Arial" w:eastAsia="Times New Roman" w:hAnsi="Arial" w:cs="Arial"/>
          <w:b/>
          <w:color w:val="000000"/>
          <w:sz w:val="24"/>
          <w:szCs w:val="24"/>
          <w:lang w:eastAsia="es-ES"/>
        </w:rPr>
      </w:pPr>
      <w:r w:rsidRPr="001224D7">
        <w:rPr>
          <w:rFonts w:ascii="Arial" w:eastAsia="Times New Roman" w:hAnsi="Arial" w:cs="Arial"/>
          <w:b/>
          <w:color w:val="000000"/>
          <w:sz w:val="24"/>
          <w:szCs w:val="24"/>
          <w:lang w:eastAsia="es-ES"/>
        </w:rPr>
        <w:t xml:space="preserve">Art. 324 </w:t>
      </w:r>
      <w:r w:rsidR="007022E6">
        <w:rPr>
          <w:rFonts w:ascii="Arial" w:eastAsia="Times New Roman" w:hAnsi="Arial" w:cs="Arial"/>
          <w:b/>
          <w:color w:val="000000"/>
          <w:sz w:val="24"/>
          <w:szCs w:val="24"/>
          <w:lang w:eastAsia="es-ES"/>
        </w:rPr>
        <w:t>ç</w:t>
      </w:r>
    </w:p>
    <w:p w14:paraId="31FA6195" w14:textId="2FFCAA38" w:rsidR="007022E6" w:rsidRPr="007022E6" w:rsidRDefault="007022E6" w:rsidP="007022E6">
      <w:pPr>
        <w:pStyle w:val="Textoindependiente"/>
        <w:rPr>
          <w:rFonts w:eastAsia="Times New Roman"/>
          <w:lang w:val="en-US" w:eastAsia="es-ES"/>
        </w:rPr>
      </w:pPr>
      <w:r w:rsidRPr="007022E6">
        <w:rPr>
          <w:rFonts w:eastAsia="Times New Roman"/>
          <w:lang w:val="en-US" w:eastAsia="es-ES"/>
        </w:rPr>
        <w:t>Treatment of Diaphyseal Fracture of the Humerus with Intramedullary Nail Telegraph®</w:t>
      </w:r>
    </w:p>
    <w:p w14:paraId="44998BA1" w14:textId="6D7E64F9" w:rsidR="0085330F" w:rsidRPr="007022E6" w:rsidRDefault="0085330F" w:rsidP="008F219D">
      <w:pPr>
        <w:spacing w:after="0" w:line="360" w:lineRule="auto"/>
        <w:jc w:val="both"/>
        <w:rPr>
          <w:rFonts w:ascii="Arial" w:eastAsia="Times New Roman" w:hAnsi="Arial" w:cs="Arial"/>
          <w:b/>
          <w:color w:val="000000"/>
          <w:sz w:val="24"/>
          <w:szCs w:val="24"/>
          <w:lang w:val="es-ES" w:eastAsia="es-ES"/>
        </w:rPr>
      </w:pPr>
      <w:r w:rsidRPr="007022E6">
        <w:rPr>
          <w:rFonts w:ascii="Arial" w:eastAsia="Times New Roman" w:hAnsi="Arial" w:cs="Arial"/>
          <w:b/>
          <w:color w:val="000000"/>
          <w:sz w:val="24"/>
          <w:szCs w:val="24"/>
          <w:lang w:val="es-ES" w:eastAsia="es-ES"/>
        </w:rPr>
        <w:lastRenderedPageBreak/>
        <w:t xml:space="preserve">Tratamiento de la fractura diafisaria de húmero con clavo intramedular Telegraph®    </w:t>
      </w:r>
    </w:p>
    <w:p w14:paraId="3DF533D2" w14:textId="77777777" w:rsidR="00D6498C" w:rsidRDefault="007022E6" w:rsidP="007022E6">
      <w:pPr>
        <w:pStyle w:val="Ttulo2"/>
        <w:tabs>
          <w:tab w:val="clear" w:pos="5748"/>
        </w:tabs>
        <w:rPr>
          <w:lang w:val="en-US"/>
        </w:rPr>
      </w:pPr>
      <w:r w:rsidRPr="007022E6">
        <w:rPr>
          <w:lang w:val="en-US"/>
        </w:rPr>
        <w:t>ABSTRACT</w:t>
      </w:r>
    </w:p>
    <w:p w14:paraId="20BDDC41" w14:textId="77777777" w:rsidR="00D6498C" w:rsidRDefault="00D6498C" w:rsidP="007022E6">
      <w:pPr>
        <w:pStyle w:val="Ttulo2"/>
        <w:tabs>
          <w:tab w:val="clear" w:pos="5748"/>
        </w:tabs>
        <w:rPr>
          <w:b w:val="0"/>
          <w:lang w:val="en-US"/>
        </w:rPr>
      </w:pPr>
      <w:r w:rsidRPr="00D6498C">
        <w:rPr>
          <w:lang w:val="en-US"/>
        </w:rPr>
        <w:t xml:space="preserve">Introduction: </w:t>
      </w:r>
      <w:r w:rsidRPr="00D6498C">
        <w:rPr>
          <w:b w:val="0"/>
          <w:lang w:val="en-US"/>
        </w:rPr>
        <w:t xml:space="preserve">The treatment of the diaphyseal fracture of the humerus has an arsenal of surgical methods. The </w:t>
      </w:r>
      <w:r w:rsidRPr="00D6498C">
        <w:rPr>
          <w:b w:val="0"/>
          <w:lang w:val="en-US"/>
        </w:rPr>
        <w:t>antegrade locked intramedullary nailing</w:t>
      </w:r>
      <w:r>
        <w:rPr>
          <w:b w:val="0"/>
          <w:lang w:val="en-US"/>
        </w:rPr>
        <w:t xml:space="preserve"> is a</w:t>
      </w:r>
      <w:r w:rsidRPr="00D6498C">
        <w:rPr>
          <w:b w:val="0"/>
          <w:lang w:val="en-US"/>
        </w:rPr>
        <w:t xml:space="preserve">mong </w:t>
      </w:r>
      <w:r>
        <w:rPr>
          <w:b w:val="0"/>
          <w:lang w:val="en-US"/>
        </w:rPr>
        <w:t>them.</w:t>
      </w:r>
    </w:p>
    <w:p w14:paraId="21DF0DF5" w14:textId="54E8B90E" w:rsidR="00E64829" w:rsidRDefault="00D6498C" w:rsidP="007022E6">
      <w:pPr>
        <w:pStyle w:val="Ttulo2"/>
        <w:tabs>
          <w:tab w:val="clear" w:pos="5748"/>
        </w:tabs>
      </w:pPr>
      <w:r w:rsidRPr="00D6498C">
        <w:rPr>
          <w:lang w:val="en-US"/>
        </w:rPr>
        <w:t>Objective</w:t>
      </w:r>
      <w:r w:rsidRPr="00D6498C">
        <w:rPr>
          <w:b w:val="0"/>
          <w:lang w:val="en-US"/>
        </w:rPr>
        <w:t>: To evaluate the results of the treatment of the diaphyseal fracture of the humerus with Telegraph® antegrade locked intramedullary nail.</w:t>
      </w:r>
    </w:p>
    <w:p w14:paraId="2FF58A3B" w14:textId="77777777" w:rsidR="00E64829" w:rsidRDefault="00E64829" w:rsidP="00E64829">
      <w:pPr>
        <w:pStyle w:val="Ttulo2"/>
        <w:tabs>
          <w:tab w:val="clear" w:pos="5748"/>
        </w:tabs>
      </w:pPr>
      <w:r w:rsidRPr="00E64829">
        <w:rPr>
          <w:lang w:val="en-US"/>
        </w:rPr>
        <w:t>Methods</w:t>
      </w:r>
      <w:r w:rsidRPr="00E64829">
        <w:rPr>
          <w:b w:val="0"/>
          <w:lang w:val="en-US"/>
        </w:rPr>
        <w:t xml:space="preserve">: </w:t>
      </w:r>
      <w:r>
        <w:rPr>
          <w:b w:val="0"/>
          <w:lang w:val="en-US"/>
        </w:rPr>
        <w:t>A p</w:t>
      </w:r>
      <w:r w:rsidRPr="00E64829">
        <w:rPr>
          <w:b w:val="0"/>
          <w:lang w:val="en-US"/>
        </w:rPr>
        <w:t xml:space="preserve">rospective, longitudinal, descriptive study </w:t>
      </w:r>
      <w:r>
        <w:rPr>
          <w:b w:val="0"/>
          <w:lang w:val="en-US"/>
        </w:rPr>
        <w:t xml:space="preserve">was developed in </w:t>
      </w:r>
      <w:r w:rsidRPr="00E64829">
        <w:rPr>
          <w:b w:val="0"/>
          <w:lang w:val="en-US"/>
        </w:rPr>
        <w:t xml:space="preserve">16 patients with diaphyseal fracture of the humerus, who underwent surgery with Telegraph® intramedullary system at Fructuoso Rodríguez Orthopedic Hospital in Havana, </w:t>
      </w:r>
      <w:r>
        <w:rPr>
          <w:b w:val="0"/>
          <w:lang w:val="en-US"/>
        </w:rPr>
        <w:t>from</w:t>
      </w:r>
      <w:r w:rsidRPr="00E64829">
        <w:rPr>
          <w:b w:val="0"/>
          <w:lang w:val="en-US"/>
        </w:rPr>
        <w:t xml:space="preserve"> January 2015 </w:t>
      </w:r>
      <w:r>
        <w:rPr>
          <w:b w:val="0"/>
          <w:lang w:val="en-US"/>
        </w:rPr>
        <w:t>to</w:t>
      </w:r>
      <w:r w:rsidRPr="00E64829">
        <w:rPr>
          <w:b w:val="0"/>
          <w:lang w:val="en-US"/>
        </w:rPr>
        <w:t xml:space="preserve"> December 2019. Outcomes were evaluated according to the QuickDASH evaluation scale.</w:t>
      </w:r>
    </w:p>
    <w:p w14:paraId="14CB97E6" w14:textId="77777777" w:rsidR="00E64829" w:rsidRDefault="00E64829" w:rsidP="00E64829">
      <w:pPr>
        <w:pStyle w:val="Ttulo2"/>
        <w:tabs>
          <w:tab w:val="clear" w:pos="5748"/>
        </w:tabs>
      </w:pPr>
      <w:r w:rsidRPr="00E64829">
        <w:rPr>
          <w:lang w:val="en-US"/>
        </w:rPr>
        <w:t>Results</w:t>
      </w:r>
      <w:r w:rsidRPr="00E64829">
        <w:rPr>
          <w:b w:val="0"/>
          <w:lang w:val="en-US"/>
        </w:rPr>
        <w:t>: Patients between 40 and 60 years old predominated, 9 of the total were female. The mean follow-up time was 27.25 ± 4.5 months. The type of fracture A2a (simple line, oblique, of the middle third) was more frequent. Complications were minor and therefore</w:t>
      </w:r>
      <w:r>
        <w:rPr>
          <w:b w:val="0"/>
          <w:lang w:val="en-US"/>
        </w:rPr>
        <w:t xml:space="preserve"> they</w:t>
      </w:r>
      <w:r w:rsidRPr="00E64829">
        <w:rPr>
          <w:b w:val="0"/>
          <w:lang w:val="en-US"/>
        </w:rPr>
        <w:t xml:space="preserve"> d</w:t>
      </w:r>
      <w:r>
        <w:rPr>
          <w:b w:val="0"/>
          <w:lang w:val="en-US"/>
        </w:rPr>
        <w:t xml:space="preserve">id not affect the final result. </w:t>
      </w:r>
      <w:r w:rsidRPr="00E64829">
        <w:rPr>
          <w:b w:val="0"/>
          <w:lang w:val="en-US"/>
        </w:rPr>
        <w:t xml:space="preserve">The most frequent was shoulder pain. </w:t>
      </w:r>
      <w:r>
        <w:rPr>
          <w:b w:val="0"/>
          <w:lang w:val="en-US"/>
        </w:rPr>
        <w:t>Six</w:t>
      </w:r>
      <w:r w:rsidRPr="00E64829">
        <w:rPr>
          <w:b w:val="0"/>
          <w:lang w:val="en-US"/>
        </w:rPr>
        <w:t xml:space="preserve"> 6 months </w:t>
      </w:r>
      <w:r>
        <w:rPr>
          <w:b w:val="0"/>
          <w:lang w:val="en-US"/>
        </w:rPr>
        <w:t>after surgery</w:t>
      </w:r>
      <w:r w:rsidRPr="00E64829">
        <w:rPr>
          <w:b w:val="0"/>
          <w:lang w:val="en-US"/>
        </w:rPr>
        <w:t xml:space="preserve">, 75% of the patients </w:t>
      </w:r>
      <w:r>
        <w:rPr>
          <w:b w:val="0"/>
          <w:lang w:val="en-US"/>
        </w:rPr>
        <w:t>showed</w:t>
      </w:r>
      <w:r w:rsidRPr="00E64829">
        <w:rPr>
          <w:b w:val="0"/>
          <w:lang w:val="en-US"/>
        </w:rPr>
        <w:t xml:space="preserve"> null or incipient degree of difficulty.</w:t>
      </w:r>
    </w:p>
    <w:p w14:paraId="6248931B" w14:textId="3E7D9495" w:rsidR="00E64829" w:rsidRDefault="00E64829" w:rsidP="00E64829">
      <w:pPr>
        <w:pStyle w:val="Ttulo2"/>
        <w:tabs>
          <w:tab w:val="clear" w:pos="5748"/>
        </w:tabs>
        <w:rPr>
          <w:b w:val="0"/>
          <w:lang w:val="en-US"/>
        </w:rPr>
      </w:pPr>
      <w:r w:rsidRPr="00E64829">
        <w:rPr>
          <w:lang w:val="en-US"/>
        </w:rPr>
        <w:t>Conclusions</w:t>
      </w:r>
      <w:r w:rsidRPr="00E64829">
        <w:rPr>
          <w:b w:val="0"/>
          <w:lang w:val="en-US"/>
        </w:rPr>
        <w:t xml:space="preserve">: </w:t>
      </w:r>
      <w:r>
        <w:rPr>
          <w:b w:val="0"/>
          <w:lang w:val="en-US"/>
        </w:rPr>
        <w:t>T</w:t>
      </w:r>
      <w:r w:rsidRPr="00E64829">
        <w:rPr>
          <w:b w:val="0"/>
          <w:lang w:val="en-US"/>
        </w:rPr>
        <w:t xml:space="preserve">he use of </w:t>
      </w:r>
      <w:r w:rsidR="00405A50" w:rsidRPr="00E64829">
        <w:rPr>
          <w:b w:val="0"/>
          <w:lang w:val="en-US"/>
        </w:rPr>
        <w:t>Telegraph®</w:t>
      </w:r>
      <w:r w:rsidRPr="00E64829">
        <w:rPr>
          <w:b w:val="0"/>
          <w:lang w:val="en-US"/>
        </w:rPr>
        <w:t xml:space="preserve"> locke</w:t>
      </w:r>
      <w:r w:rsidR="00405A50">
        <w:rPr>
          <w:b w:val="0"/>
          <w:lang w:val="en-US"/>
        </w:rPr>
        <w:t xml:space="preserve">d antegrade intramedullary nail offer </w:t>
      </w:r>
      <w:r w:rsidR="00405A50" w:rsidRPr="00E64829">
        <w:rPr>
          <w:b w:val="0"/>
          <w:lang w:val="en-US"/>
        </w:rPr>
        <w:t>excellent</w:t>
      </w:r>
      <w:r w:rsidRPr="00E64829">
        <w:rPr>
          <w:b w:val="0"/>
          <w:lang w:val="en-US"/>
        </w:rPr>
        <w:t xml:space="preserve"> functional results with prompt reincorporation of patient</w:t>
      </w:r>
      <w:r w:rsidR="00405A50">
        <w:rPr>
          <w:b w:val="0"/>
          <w:lang w:val="en-US"/>
        </w:rPr>
        <w:t>s</w:t>
      </w:r>
      <w:r w:rsidRPr="00E64829">
        <w:rPr>
          <w:b w:val="0"/>
          <w:lang w:val="en-US"/>
        </w:rPr>
        <w:t xml:space="preserve"> to </w:t>
      </w:r>
      <w:r w:rsidR="00405A50">
        <w:rPr>
          <w:b w:val="0"/>
          <w:lang w:val="en-US"/>
        </w:rPr>
        <w:t>their</w:t>
      </w:r>
      <w:r w:rsidRPr="00E64829">
        <w:rPr>
          <w:b w:val="0"/>
          <w:lang w:val="en-US"/>
        </w:rPr>
        <w:t xml:space="preserve"> life prior to the injury.</w:t>
      </w:r>
    </w:p>
    <w:p w14:paraId="0350AE36" w14:textId="77777777" w:rsidR="00C430B5" w:rsidRPr="00C430B5" w:rsidRDefault="00C430B5" w:rsidP="008F219D">
      <w:pPr>
        <w:tabs>
          <w:tab w:val="left" w:pos="5748"/>
        </w:tabs>
        <w:spacing w:after="0" w:line="360" w:lineRule="auto"/>
        <w:jc w:val="both"/>
        <w:rPr>
          <w:rFonts w:ascii="Arial" w:hAnsi="Arial" w:cs="Arial"/>
          <w:color w:val="002060"/>
          <w:sz w:val="24"/>
          <w:szCs w:val="24"/>
        </w:rPr>
      </w:pPr>
      <w:r w:rsidRPr="00C430B5">
        <w:rPr>
          <w:rFonts w:ascii="Arial" w:hAnsi="Arial" w:cs="Arial"/>
          <w:b/>
          <w:color w:val="002060"/>
          <w:sz w:val="24"/>
          <w:szCs w:val="24"/>
        </w:rPr>
        <w:t>Keywords</w:t>
      </w:r>
      <w:r w:rsidRPr="00C430B5">
        <w:rPr>
          <w:rFonts w:ascii="Arial" w:hAnsi="Arial" w:cs="Arial"/>
          <w:color w:val="002060"/>
          <w:sz w:val="24"/>
          <w:szCs w:val="24"/>
        </w:rPr>
        <w:t>: fracture; humerus; intramedullary nail.</w:t>
      </w:r>
    </w:p>
    <w:p w14:paraId="46B5E5B1" w14:textId="77777777" w:rsidR="0085330F" w:rsidRPr="001224D7" w:rsidRDefault="0085330F" w:rsidP="008F219D">
      <w:pPr>
        <w:tabs>
          <w:tab w:val="left" w:pos="5748"/>
        </w:tabs>
        <w:spacing w:after="0" w:line="360" w:lineRule="auto"/>
        <w:jc w:val="both"/>
        <w:rPr>
          <w:rFonts w:ascii="Arial" w:hAnsi="Arial" w:cs="Arial"/>
          <w:sz w:val="24"/>
          <w:szCs w:val="24"/>
        </w:rPr>
      </w:pPr>
    </w:p>
    <w:p w14:paraId="3BC8A9E8" w14:textId="366B94FA" w:rsidR="00193F0F" w:rsidRPr="001224D7" w:rsidRDefault="0085330F" w:rsidP="008F219D">
      <w:pPr>
        <w:pStyle w:val="Ttulo2"/>
        <w:rPr>
          <w:lang w:val="en-US"/>
        </w:rPr>
      </w:pPr>
      <w:r w:rsidRPr="001224D7">
        <w:rPr>
          <w:lang w:val="en-US"/>
        </w:rPr>
        <w:t>Art. 442</w:t>
      </w:r>
      <w:r w:rsidR="00405A50">
        <w:rPr>
          <w:lang w:val="en-US"/>
        </w:rPr>
        <w:t xml:space="preserve"> </w:t>
      </w:r>
      <w:r w:rsidR="00405A50" w:rsidRPr="001224D7">
        <w:rPr>
          <w:rFonts w:eastAsia="Times New Roman"/>
          <w:color w:val="FF0000"/>
          <w:lang w:val="en-US" w:eastAsia="es-ES"/>
        </w:rPr>
        <w:t>(Carta al editor, solo traducir el título)</w:t>
      </w:r>
    </w:p>
    <w:p w14:paraId="1E4CA8B6" w14:textId="5A4F507A" w:rsidR="00193F0F" w:rsidRPr="001224D7" w:rsidRDefault="00405A50" w:rsidP="008F219D">
      <w:pPr>
        <w:tabs>
          <w:tab w:val="left" w:pos="5748"/>
        </w:tabs>
        <w:spacing w:after="0" w:line="360" w:lineRule="auto"/>
        <w:jc w:val="both"/>
        <w:rPr>
          <w:rFonts w:ascii="Arial" w:hAnsi="Arial" w:cs="Arial"/>
          <w:b/>
          <w:color w:val="002060"/>
          <w:sz w:val="24"/>
          <w:szCs w:val="24"/>
        </w:rPr>
      </w:pPr>
      <w:r w:rsidRPr="001224D7">
        <w:rPr>
          <w:rFonts w:ascii="Arial" w:hAnsi="Arial" w:cs="Arial"/>
          <w:b/>
          <w:color w:val="002060"/>
          <w:sz w:val="24"/>
          <w:szCs w:val="24"/>
        </w:rPr>
        <w:t>Treatments</w:t>
      </w:r>
      <w:r w:rsidRPr="001224D7">
        <w:rPr>
          <w:rFonts w:ascii="Arial" w:hAnsi="Arial" w:cs="Arial"/>
          <w:b/>
          <w:color w:val="002060"/>
          <w:sz w:val="24"/>
          <w:szCs w:val="24"/>
        </w:rPr>
        <w:t xml:space="preserve"> </w:t>
      </w:r>
      <w:r w:rsidR="007F4243" w:rsidRPr="001224D7">
        <w:rPr>
          <w:rFonts w:ascii="Arial" w:hAnsi="Arial" w:cs="Arial"/>
          <w:b/>
          <w:color w:val="002060"/>
          <w:sz w:val="24"/>
          <w:szCs w:val="24"/>
        </w:rPr>
        <w:t xml:space="preserve">in Calcaneal Fractures </w:t>
      </w:r>
      <w:r w:rsidR="007F4243">
        <w:rPr>
          <w:rFonts w:ascii="Arial" w:hAnsi="Arial" w:cs="Arial"/>
          <w:b/>
          <w:color w:val="002060"/>
          <w:sz w:val="24"/>
          <w:szCs w:val="24"/>
        </w:rPr>
        <w:t>According To</w:t>
      </w:r>
      <w:r w:rsidR="007F4243" w:rsidRPr="001224D7">
        <w:rPr>
          <w:rFonts w:ascii="Arial" w:hAnsi="Arial" w:cs="Arial"/>
          <w:b/>
          <w:color w:val="002060"/>
          <w:sz w:val="24"/>
          <w:szCs w:val="24"/>
        </w:rPr>
        <w:t xml:space="preserve"> </w:t>
      </w:r>
      <w:r w:rsidR="00193F0F" w:rsidRPr="001224D7">
        <w:rPr>
          <w:rFonts w:ascii="Arial" w:hAnsi="Arial" w:cs="Arial"/>
          <w:b/>
          <w:color w:val="002060"/>
          <w:sz w:val="24"/>
          <w:szCs w:val="24"/>
        </w:rPr>
        <w:t xml:space="preserve">Sanders </w:t>
      </w:r>
      <w:r w:rsidR="007F4243" w:rsidRPr="001224D7">
        <w:rPr>
          <w:rFonts w:ascii="Arial" w:hAnsi="Arial" w:cs="Arial"/>
          <w:b/>
          <w:color w:val="002060"/>
          <w:sz w:val="24"/>
          <w:szCs w:val="24"/>
        </w:rPr>
        <w:t xml:space="preserve">Classification </w:t>
      </w:r>
    </w:p>
    <w:p w14:paraId="784E7D18" w14:textId="7DF102B7" w:rsidR="0085330F" w:rsidRDefault="0085330F" w:rsidP="008F219D">
      <w:pPr>
        <w:tabs>
          <w:tab w:val="left" w:pos="5748"/>
        </w:tabs>
        <w:spacing w:after="0" w:line="360" w:lineRule="auto"/>
        <w:jc w:val="both"/>
        <w:rPr>
          <w:rFonts w:ascii="Arial" w:hAnsi="Arial" w:cs="Arial"/>
          <w:b/>
          <w:sz w:val="24"/>
          <w:szCs w:val="24"/>
        </w:rPr>
      </w:pPr>
      <w:r w:rsidRPr="001224D7">
        <w:rPr>
          <w:rFonts w:ascii="Arial" w:hAnsi="Arial" w:cs="Arial"/>
          <w:b/>
          <w:sz w:val="24"/>
          <w:szCs w:val="24"/>
        </w:rPr>
        <w:t>Tratamientos referidos de la clasificación de Sanders en fracturas de calcáneo</w:t>
      </w:r>
    </w:p>
    <w:p w14:paraId="18960271" w14:textId="77777777" w:rsidR="005E4511" w:rsidRDefault="0085330F" w:rsidP="005E4511">
      <w:pPr>
        <w:spacing w:after="0" w:line="360" w:lineRule="auto"/>
        <w:jc w:val="both"/>
        <w:rPr>
          <w:rFonts w:ascii="Arial" w:eastAsia="SimSun" w:hAnsi="Arial" w:cs="Arial"/>
          <w:iCs/>
          <w:color w:val="002060"/>
          <w:sz w:val="20"/>
          <w:szCs w:val="20"/>
          <w:lang w:val="es-ES_tradnl" w:eastAsia="zh-CN"/>
        </w:rPr>
      </w:pPr>
      <w:r w:rsidRPr="00BD6CEC">
        <w:rPr>
          <w:rFonts w:ascii="Arial" w:eastAsia="Times New Roman" w:hAnsi="Arial" w:cs="Arial"/>
          <w:color w:val="FF0000"/>
          <w:sz w:val="24"/>
          <w:szCs w:val="24"/>
          <w:lang w:val="es-ES" w:eastAsia="es-ES"/>
        </w:rPr>
        <w:t xml:space="preserve">   </w:t>
      </w:r>
      <w:r w:rsidR="005E4511">
        <w:rPr>
          <w:rFonts w:ascii="Arial" w:eastAsia="SimSun" w:hAnsi="Arial" w:cs="Arial"/>
          <w:iCs/>
          <w:color w:val="002060"/>
          <w:sz w:val="20"/>
          <w:szCs w:val="20"/>
          <w:lang w:val="es-ES_tradnl" w:eastAsia="zh-CN"/>
        </w:rPr>
        <w:t xml:space="preserve">***/ Traducción: </w:t>
      </w:r>
      <w:hyperlink r:id="rId6" w:history="1">
        <w:r w:rsidR="005E4511">
          <w:rPr>
            <w:rStyle w:val="Hipervnculo"/>
            <w:rFonts w:ascii="Arial" w:eastAsia="SimSun" w:hAnsi="Arial" w:cs="Arial"/>
            <w:iCs/>
            <w:sz w:val="20"/>
            <w:szCs w:val="20"/>
            <w:lang w:val="es-ES_tradnl" w:eastAsia="zh-CN"/>
          </w:rPr>
          <w:t>Gretchen González Nieto</w:t>
        </w:r>
      </w:hyperlink>
    </w:p>
    <w:p w14:paraId="4DE86990" w14:textId="77777777" w:rsidR="005E4511" w:rsidRDefault="005E4511" w:rsidP="005E4511">
      <w:pPr>
        <w:spacing w:after="0" w:line="360" w:lineRule="auto"/>
        <w:jc w:val="both"/>
        <w:rPr>
          <w:rFonts w:ascii="Arial" w:eastAsia="SimSun" w:hAnsi="Arial" w:cs="Arial"/>
          <w:iCs/>
          <w:color w:val="002060"/>
          <w:sz w:val="20"/>
          <w:szCs w:val="20"/>
          <w:lang w:val="es-ES_tradnl" w:eastAsia="zh-CN"/>
        </w:rPr>
      </w:pPr>
      <w:r>
        <w:rPr>
          <w:rFonts w:ascii="Arial" w:eastAsia="SimSun" w:hAnsi="Arial" w:cs="Arial"/>
          <w:iCs/>
          <w:color w:val="002060"/>
          <w:sz w:val="20"/>
          <w:szCs w:val="20"/>
          <w:lang w:val="es-ES_tradnl" w:eastAsia="zh-CN"/>
        </w:rPr>
        <w:t>Servicio de traducción</w:t>
      </w:r>
    </w:p>
    <w:p w14:paraId="6826A236" w14:textId="77777777" w:rsidR="005E4511" w:rsidRDefault="005E4511" w:rsidP="005E4511">
      <w:pPr>
        <w:spacing w:after="0" w:line="360" w:lineRule="auto"/>
        <w:jc w:val="both"/>
        <w:rPr>
          <w:rFonts w:ascii="Arial" w:eastAsia="SimSun" w:hAnsi="Arial" w:cs="Arial"/>
          <w:iCs/>
          <w:color w:val="002060"/>
          <w:sz w:val="20"/>
          <w:szCs w:val="20"/>
          <w:lang w:val="es-ES_tradnl" w:eastAsia="zh-CN"/>
        </w:rPr>
      </w:pPr>
      <w:r>
        <w:rPr>
          <w:rFonts w:ascii="Arial" w:eastAsia="SimSun" w:hAnsi="Arial" w:cs="Arial"/>
          <w:iCs/>
          <w:color w:val="002060"/>
          <w:sz w:val="20"/>
          <w:szCs w:val="20"/>
          <w:lang w:val="es-ES_tradnl" w:eastAsia="zh-CN"/>
        </w:rPr>
        <w:t>CNICM-Infomed</w:t>
      </w:r>
    </w:p>
    <w:p w14:paraId="76220391" w14:textId="01B03BB6" w:rsidR="0085330F" w:rsidRPr="00BD6CEC" w:rsidRDefault="005E4511" w:rsidP="008F219D">
      <w:pPr>
        <w:spacing w:after="0" w:line="360" w:lineRule="auto"/>
        <w:jc w:val="both"/>
        <w:rPr>
          <w:rFonts w:ascii="Arial" w:eastAsia="Times New Roman" w:hAnsi="Arial" w:cs="Arial"/>
          <w:color w:val="FF0000"/>
          <w:sz w:val="24"/>
          <w:szCs w:val="24"/>
          <w:lang w:val="es-ES" w:eastAsia="es-ES"/>
        </w:rPr>
      </w:pPr>
      <w:r>
        <w:rPr>
          <w:rFonts w:ascii="Arial" w:eastAsia="SimSun" w:hAnsi="Arial" w:cs="Arial"/>
          <w:iCs/>
          <w:color w:val="002060"/>
          <w:sz w:val="20"/>
          <w:szCs w:val="20"/>
          <w:lang w:val="es-ES_tradnl" w:eastAsia="zh-CN"/>
        </w:rPr>
        <w:t>0</w:t>
      </w:r>
      <w:r>
        <w:rPr>
          <w:rFonts w:ascii="Arial" w:eastAsia="SimSun" w:hAnsi="Arial" w:cs="Arial"/>
          <w:iCs/>
          <w:color w:val="002060"/>
          <w:sz w:val="20"/>
          <w:szCs w:val="20"/>
          <w:lang w:val="es-ES_tradnl" w:eastAsia="zh-CN"/>
        </w:rPr>
        <w:t>7</w:t>
      </w:r>
      <w:r>
        <w:rPr>
          <w:rFonts w:ascii="Arial" w:eastAsia="SimSun" w:hAnsi="Arial" w:cs="Arial"/>
          <w:iCs/>
          <w:color w:val="002060"/>
          <w:sz w:val="20"/>
          <w:szCs w:val="20"/>
          <w:lang w:val="es-ES_tradnl" w:eastAsia="zh-CN"/>
        </w:rPr>
        <w:t xml:space="preserve"> de marzo de 2022</w:t>
      </w:r>
      <w:bookmarkStart w:id="0" w:name="_GoBack"/>
      <w:bookmarkEnd w:id="0"/>
    </w:p>
    <w:sectPr w:rsidR="0085330F" w:rsidRPr="00BD6CEC" w:rsidSect="004A6266">
      <w:pgSz w:w="12240" w:h="15840"/>
      <w:pgMar w:top="1418" w:right="1701" w:bottom="1418" w:left="192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18EF4" w14:textId="77777777" w:rsidR="00442E20" w:rsidRDefault="00442E20" w:rsidP="00152AD6">
      <w:pPr>
        <w:spacing w:after="0" w:line="240" w:lineRule="auto"/>
      </w:pPr>
      <w:r>
        <w:separator/>
      </w:r>
    </w:p>
  </w:endnote>
  <w:endnote w:type="continuationSeparator" w:id="0">
    <w:p w14:paraId="24153815" w14:textId="77777777" w:rsidR="00442E20" w:rsidRDefault="00442E20" w:rsidP="0015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EFA6D" w14:textId="77777777" w:rsidR="00442E20" w:rsidRDefault="00442E20" w:rsidP="00152AD6">
      <w:pPr>
        <w:spacing w:after="0" w:line="240" w:lineRule="auto"/>
      </w:pPr>
      <w:r>
        <w:separator/>
      </w:r>
    </w:p>
  </w:footnote>
  <w:footnote w:type="continuationSeparator" w:id="0">
    <w:p w14:paraId="5CE26F99" w14:textId="77777777" w:rsidR="00442E20" w:rsidRDefault="00442E20" w:rsidP="00152A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AA"/>
    <w:rsid w:val="0001040D"/>
    <w:rsid w:val="000177BA"/>
    <w:rsid w:val="0009564D"/>
    <w:rsid w:val="001224D7"/>
    <w:rsid w:val="00152AD6"/>
    <w:rsid w:val="00176E06"/>
    <w:rsid w:val="00193F0F"/>
    <w:rsid w:val="001B3D18"/>
    <w:rsid w:val="003424DC"/>
    <w:rsid w:val="00355573"/>
    <w:rsid w:val="003604CF"/>
    <w:rsid w:val="0040384F"/>
    <w:rsid w:val="00405A50"/>
    <w:rsid w:val="004202DB"/>
    <w:rsid w:val="004232CF"/>
    <w:rsid w:val="00442E20"/>
    <w:rsid w:val="004A6266"/>
    <w:rsid w:val="004F17DB"/>
    <w:rsid w:val="004F757C"/>
    <w:rsid w:val="00594833"/>
    <w:rsid w:val="005E4511"/>
    <w:rsid w:val="007022E6"/>
    <w:rsid w:val="0070745C"/>
    <w:rsid w:val="007C13AA"/>
    <w:rsid w:val="007F4243"/>
    <w:rsid w:val="0085330F"/>
    <w:rsid w:val="00867E46"/>
    <w:rsid w:val="008F219D"/>
    <w:rsid w:val="009F2C19"/>
    <w:rsid w:val="00BD6CEC"/>
    <w:rsid w:val="00C430B5"/>
    <w:rsid w:val="00CA393C"/>
    <w:rsid w:val="00CA62F5"/>
    <w:rsid w:val="00CE5002"/>
    <w:rsid w:val="00D6498C"/>
    <w:rsid w:val="00E64829"/>
    <w:rsid w:val="00FC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8CC7"/>
  <w15:chartTrackingRefBased/>
  <w15:docId w15:val="{756988AB-32AA-4881-AF5B-AEA52089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A6266"/>
    <w:pPr>
      <w:keepNext/>
      <w:spacing w:line="360" w:lineRule="auto"/>
      <w:jc w:val="both"/>
      <w:outlineLvl w:val="0"/>
    </w:pPr>
    <w:rPr>
      <w:rFonts w:ascii="Arial" w:hAnsi="Arial" w:cs="Arial"/>
      <w:b/>
      <w:sz w:val="24"/>
      <w:szCs w:val="24"/>
      <w:lang w:val="es-EC"/>
    </w:rPr>
  </w:style>
  <w:style w:type="paragraph" w:styleId="Ttulo2">
    <w:name w:val="heading 2"/>
    <w:basedOn w:val="Normal"/>
    <w:next w:val="Normal"/>
    <w:link w:val="Ttulo2Car"/>
    <w:uiPriority w:val="9"/>
    <w:unhideWhenUsed/>
    <w:qFormat/>
    <w:rsid w:val="00193F0F"/>
    <w:pPr>
      <w:keepNext/>
      <w:tabs>
        <w:tab w:val="left" w:pos="5748"/>
      </w:tabs>
      <w:spacing w:after="0" w:line="360" w:lineRule="auto"/>
      <w:jc w:val="both"/>
      <w:outlineLvl w:val="1"/>
    </w:pPr>
    <w:rPr>
      <w:rFonts w:ascii="Arial" w:hAnsi="Arial" w:cs="Arial"/>
      <w:b/>
      <w:color w:val="002060"/>
      <w:sz w:val="24"/>
      <w:szCs w:val="24"/>
      <w:lang w:val="en-GB"/>
    </w:rPr>
  </w:style>
  <w:style w:type="paragraph" w:styleId="Ttulo3">
    <w:name w:val="heading 3"/>
    <w:basedOn w:val="Normal"/>
    <w:next w:val="Normal"/>
    <w:link w:val="Ttulo3Car"/>
    <w:uiPriority w:val="9"/>
    <w:unhideWhenUsed/>
    <w:qFormat/>
    <w:rsid w:val="009F2C19"/>
    <w:pPr>
      <w:keepNext/>
      <w:spacing w:after="0" w:line="360" w:lineRule="auto"/>
      <w:outlineLvl w:val="2"/>
    </w:pPr>
    <w:rPr>
      <w:rFonts w:ascii="Arial" w:eastAsia="Calibri" w:hAnsi="Arial" w:cs="Arial"/>
      <w:b/>
      <w:color w:val="002060"/>
      <w:sz w:val="24"/>
      <w:szCs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2">
    <w:name w:val="Estilo2"/>
    <w:basedOn w:val="Tablaweb1"/>
    <w:rsid w:val="00594833"/>
    <w:pPr>
      <w:spacing w:after="0" w:line="240" w:lineRule="auto"/>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59483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7C13AA"/>
    <w:rPr>
      <w:sz w:val="16"/>
      <w:szCs w:val="16"/>
    </w:rPr>
  </w:style>
  <w:style w:type="paragraph" w:styleId="Textocomentario">
    <w:name w:val="annotation text"/>
    <w:basedOn w:val="Normal"/>
    <w:link w:val="TextocomentarioCar"/>
    <w:uiPriority w:val="99"/>
    <w:semiHidden/>
    <w:unhideWhenUsed/>
    <w:rsid w:val="007C13AA"/>
    <w:pPr>
      <w:spacing w:line="240" w:lineRule="auto"/>
    </w:pPr>
    <w:rPr>
      <w:rFonts w:eastAsiaTheme="minorEastAsia"/>
      <w:sz w:val="20"/>
      <w:szCs w:val="20"/>
      <w:lang w:val="es-EC" w:eastAsia="es-EC"/>
    </w:rPr>
  </w:style>
  <w:style w:type="character" w:customStyle="1" w:styleId="TextocomentarioCar">
    <w:name w:val="Texto comentario Car"/>
    <w:basedOn w:val="Fuentedeprrafopredeter"/>
    <w:link w:val="Textocomentario"/>
    <w:uiPriority w:val="99"/>
    <w:semiHidden/>
    <w:rsid w:val="007C13AA"/>
    <w:rPr>
      <w:rFonts w:eastAsiaTheme="minorEastAsia"/>
      <w:sz w:val="20"/>
      <w:szCs w:val="20"/>
      <w:lang w:val="es-EC" w:eastAsia="es-EC"/>
    </w:rPr>
  </w:style>
  <w:style w:type="paragraph" w:styleId="Textodeglobo">
    <w:name w:val="Balloon Text"/>
    <w:basedOn w:val="Normal"/>
    <w:link w:val="TextodegloboCar"/>
    <w:uiPriority w:val="99"/>
    <w:semiHidden/>
    <w:unhideWhenUsed/>
    <w:rsid w:val="007C13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3A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604CF"/>
    <w:rPr>
      <w:rFonts w:eastAsiaTheme="minorHAnsi"/>
      <w:b/>
      <w:bCs/>
      <w:lang w:val="en-US" w:eastAsia="en-US"/>
    </w:rPr>
  </w:style>
  <w:style w:type="character" w:customStyle="1" w:styleId="AsuntodelcomentarioCar">
    <w:name w:val="Asunto del comentario Car"/>
    <w:basedOn w:val="TextocomentarioCar"/>
    <w:link w:val="Asuntodelcomentario"/>
    <w:uiPriority w:val="99"/>
    <w:semiHidden/>
    <w:rsid w:val="003604CF"/>
    <w:rPr>
      <w:rFonts w:eastAsiaTheme="minorEastAsia"/>
      <w:b/>
      <w:bCs/>
      <w:sz w:val="20"/>
      <w:szCs w:val="20"/>
      <w:lang w:val="es-EC" w:eastAsia="es-EC"/>
    </w:rPr>
  </w:style>
  <w:style w:type="character" w:customStyle="1" w:styleId="Ttulo1Car">
    <w:name w:val="Título 1 Car"/>
    <w:basedOn w:val="Fuentedeprrafopredeter"/>
    <w:link w:val="Ttulo1"/>
    <w:uiPriority w:val="9"/>
    <w:rsid w:val="004A6266"/>
    <w:rPr>
      <w:rFonts w:ascii="Arial" w:hAnsi="Arial" w:cs="Arial"/>
      <w:b/>
      <w:sz w:val="24"/>
      <w:szCs w:val="24"/>
      <w:lang w:val="es-EC"/>
    </w:rPr>
  </w:style>
  <w:style w:type="character" w:customStyle="1" w:styleId="Ttulo2Car">
    <w:name w:val="Título 2 Car"/>
    <w:basedOn w:val="Fuentedeprrafopredeter"/>
    <w:link w:val="Ttulo2"/>
    <w:uiPriority w:val="9"/>
    <w:rsid w:val="00193F0F"/>
    <w:rPr>
      <w:rFonts w:ascii="Arial" w:hAnsi="Arial" w:cs="Arial"/>
      <w:b/>
      <w:color w:val="002060"/>
      <w:sz w:val="24"/>
      <w:szCs w:val="24"/>
      <w:lang w:val="en-GB"/>
    </w:rPr>
  </w:style>
  <w:style w:type="character" w:customStyle="1" w:styleId="Ttulo3Car">
    <w:name w:val="Título 3 Car"/>
    <w:basedOn w:val="Fuentedeprrafopredeter"/>
    <w:link w:val="Ttulo3"/>
    <w:uiPriority w:val="9"/>
    <w:rsid w:val="009F2C19"/>
    <w:rPr>
      <w:rFonts w:ascii="Arial" w:eastAsia="Calibri" w:hAnsi="Arial" w:cs="Arial"/>
      <w:b/>
      <w:color w:val="002060"/>
      <w:sz w:val="24"/>
      <w:szCs w:val="24"/>
      <w:lang w:val="es-MX"/>
    </w:rPr>
  </w:style>
  <w:style w:type="paragraph" w:styleId="Encabezado">
    <w:name w:val="header"/>
    <w:basedOn w:val="Normal"/>
    <w:link w:val="EncabezadoCar"/>
    <w:uiPriority w:val="99"/>
    <w:unhideWhenUsed/>
    <w:rsid w:val="00152A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2AD6"/>
  </w:style>
  <w:style w:type="paragraph" w:styleId="Piedepgina">
    <w:name w:val="footer"/>
    <w:basedOn w:val="Normal"/>
    <w:link w:val="PiedepginaCar"/>
    <w:uiPriority w:val="99"/>
    <w:unhideWhenUsed/>
    <w:rsid w:val="00152A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2AD6"/>
  </w:style>
  <w:style w:type="paragraph" w:styleId="Textoindependiente">
    <w:name w:val="Body Text"/>
    <w:basedOn w:val="Normal"/>
    <w:link w:val="TextoindependienteCar"/>
    <w:uiPriority w:val="99"/>
    <w:unhideWhenUsed/>
    <w:rsid w:val="00CA393C"/>
    <w:pPr>
      <w:spacing w:after="0" w:line="360" w:lineRule="auto"/>
      <w:jc w:val="both"/>
    </w:pPr>
    <w:rPr>
      <w:rFonts w:ascii="Arial" w:hAnsi="Arial" w:cs="Arial"/>
      <w:b/>
      <w:color w:val="002060"/>
      <w:sz w:val="24"/>
      <w:szCs w:val="24"/>
      <w:lang w:val="en-GB"/>
    </w:rPr>
  </w:style>
  <w:style w:type="character" w:customStyle="1" w:styleId="TextoindependienteCar">
    <w:name w:val="Texto independiente Car"/>
    <w:basedOn w:val="Fuentedeprrafopredeter"/>
    <w:link w:val="Textoindependiente"/>
    <w:uiPriority w:val="99"/>
    <w:rsid w:val="00CA393C"/>
    <w:rPr>
      <w:rFonts w:ascii="Arial" w:hAnsi="Arial" w:cs="Arial"/>
      <w:b/>
      <w:color w:val="002060"/>
      <w:sz w:val="24"/>
      <w:szCs w:val="24"/>
      <w:lang w:val="en-GB"/>
    </w:rPr>
  </w:style>
  <w:style w:type="character" w:styleId="Hipervnculo">
    <w:name w:val="Hyperlink"/>
    <w:basedOn w:val="Fuentedeprrafopredeter"/>
    <w:uiPriority w:val="99"/>
    <w:semiHidden/>
    <w:unhideWhenUsed/>
    <w:rsid w:val="005E4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8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chen@infomed.sld.c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973</Words>
  <Characters>5548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Gret Glez Nieto </cp:lastModifiedBy>
  <cp:revision>14</cp:revision>
  <dcterms:created xsi:type="dcterms:W3CDTF">2022-03-02T19:40:00Z</dcterms:created>
  <dcterms:modified xsi:type="dcterms:W3CDTF">2022-03-07T17:26:00Z</dcterms:modified>
</cp:coreProperties>
</file>