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1E91E" w14:textId="77777777" w:rsidR="006A4C1C" w:rsidRPr="006C213B" w:rsidRDefault="006A4C1C" w:rsidP="006A4C1C">
      <w:pPr>
        <w:pStyle w:val="Puesto"/>
        <w:rPr>
          <w:color w:val="002060"/>
          <w:lang w:val="en-US"/>
        </w:rPr>
      </w:pPr>
      <w:r w:rsidRPr="006C213B">
        <w:rPr>
          <w:color w:val="002060"/>
          <w:lang w:val="en-US"/>
        </w:rPr>
        <w:t>Trad Rev Cubana Ortop 2022_p2</w:t>
      </w:r>
    </w:p>
    <w:p w14:paraId="6458C610" w14:textId="77777777" w:rsidR="006A4C1C" w:rsidRPr="006C213B" w:rsidRDefault="006A4C1C" w:rsidP="006A4C1C">
      <w:pPr>
        <w:spacing w:before="240" w:after="0" w:line="360" w:lineRule="auto"/>
        <w:jc w:val="both"/>
      </w:pPr>
      <w:r w:rsidRPr="006C213B">
        <w:rPr>
          <w:rFonts w:ascii="Arial" w:hAnsi="Arial" w:cs="Arial"/>
          <w:b/>
          <w:color w:val="002060"/>
          <w:sz w:val="24"/>
          <w:szCs w:val="24"/>
        </w:rPr>
        <w:t>a_484</w:t>
      </w:r>
    </w:p>
    <w:p w14:paraId="3CB34D6C" w14:textId="77777777" w:rsidR="006A4C1C" w:rsidRPr="006C213B" w:rsidRDefault="006A4C1C" w:rsidP="006A4C1C">
      <w:pPr>
        <w:spacing w:after="0" w:line="360" w:lineRule="auto"/>
        <w:jc w:val="both"/>
        <w:rPr>
          <w:rFonts w:ascii="Arial" w:hAnsi="Arial" w:cs="Arial"/>
          <w:b/>
          <w:color w:val="002060"/>
          <w:sz w:val="24"/>
          <w:szCs w:val="24"/>
        </w:rPr>
      </w:pPr>
      <w:r w:rsidRPr="006C213B">
        <w:rPr>
          <w:rFonts w:ascii="Arial" w:hAnsi="Arial" w:cs="Arial"/>
          <w:b/>
          <w:color w:val="002060"/>
          <w:sz w:val="24"/>
          <w:szCs w:val="24"/>
        </w:rPr>
        <w:t xml:space="preserve">Fractures of the Ankle Posterior Malleolus, Classification and Treatment Vision </w:t>
      </w:r>
    </w:p>
    <w:p w14:paraId="45AE085E" w14:textId="77777777" w:rsidR="006A4C1C" w:rsidRPr="006C213B" w:rsidRDefault="006A4C1C" w:rsidP="006A4C1C">
      <w:pPr>
        <w:pStyle w:val="Textoindependiente"/>
        <w:spacing w:after="0"/>
        <w:rPr>
          <w:rFonts w:eastAsia="Calibri"/>
        </w:rPr>
      </w:pPr>
      <w:r w:rsidRPr="006C213B">
        <w:rPr>
          <w:rFonts w:eastAsia="Calibri"/>
        </w:rPr>
        <w:t>Fracturas del maléolo posterior del tobillo, clasificación y visión de tratamiento</w:t>
      </w:r>
    </w:p>
    <w:p w14:paraId="4083D9B6" w14:textId="77777777" w:rsidR="006A4C1C" w:rsidRPr="006C213B" w:rsidRDefault="006A4C1C" w:rsidP="006A4C1C">
      <w:pPr>
        <w:pStyle w:val="Textoindependiente"/>
        <w:spacing w:after="0"/>
        <w:rPr>
          <w:rFonts w:eastAsia="Calibri"/>
        </w:rPr>
      </w:pPr>
    </w:p>
    <w:p w14:paraId="1D43F39C" w14:textId="77777777" w:rsidR="006A4C1C" w:rsidRPr="006C213B" w:rsidRDefault="006A4C1C" w:rsidP="006A4C1C">
      <w:pPr>
        <w:pStyle w:val="Ttulo1"/>
        <w:spacing w:before="0"/>
        <w:rPr>
          <w:color w:val="002060"/>
          <w:lang w:val="en-US"/>
        </w:rPr>
      </w:pPr>
      <w:r w:rsidRPr="006C213B">
        <w:rPr>
          <w:color w:val="002060"/>
          <w:lang w:val="en-US"/>
        </w:rPr>
        <w:t>ABSTRACT</w:t>
      </w:r>
    </w:p>
    <w:p w14:paraId="52E56F01" w14:textId="77777777" w:rsidR="006A4C1C" w:rsidRPr="006C213B" w:rsidRDefault="006A4C1C" w:rsidP="006A4C1C">
      <w:pPr>
        <w:pStyle w:val="Ttulo1"/>
        <w:spacing w:before="0"/>
        <w:rPr>
          <w:b w:val="0"/>
          <w:color w:val="002060"/>
          <w:lang w:val="en-US"/>
        </w:rPr>
      </w:pPr>
      <w:r w:rsidRPr="006C213B">
        <w:rPr>
          <w:color w:val="002060"/>
          <w:lang w:val="en-US"/>
        </w:rPr>
        <w:t>Introduction</w:t>
      </w:r>
      <w:r w:rsidRPr="006C213B">
        <w:rPr>
          <w:b w:val="0"/>
          <w:color w:val="002060"/>
          <w:lang w:val="en-US"/>
        </w:rPr>
        <w:t>: Fractures of the posterior malleolus are common and resulting from rotational injuries of the ankle, which are ignored due to the spontaneous reduction of these fragments after open reduction of the lateral malleolus. The current trend is to perform the anatomical correction of the joint and to avoid an intra-articular step.</w:t>
      </w:r>
    </w:p>
    <w:p w14:paraId="46E05034" w14:textId="77777777" w:rsidR="006A4C1C" w:rsidRPr="006C213B" w:rsidRDefault="006A4C1C" w:rsidP="006A4C1C">
      <w:pPr>
        <w:pStyle w:val="Ttulo1"/>
        <w:spacing w:before="0"/>
        <w:rPr>
          <w:lang w:val="en-US"/>
        </w:rPr>
      </w:pPr>
      <w:r w:rsidRPr="006C213B">
        <w:rPr>
          <w:color w:val="002060"/>
          <w:lang w:val="en-US"/>
        </w:rPr>
        <w:t>Objective</w:t>
      </w:r>
      <w:r w:rsidRPr="006C213B">
        <w:rPr>
          <w:b w:val="0"/>
          <w:color w:val="002060"/>
          <w:lang w:val="en-US"/>
        </w:rPr>
        <w:t>: To review the current state of knowledge and classification of posterior tibial malleolus fractures and treatment trends.</w:t>
      </w:r>
    </w:p>
    <w:p w14:paraId="762EB913" w14:textId="5C4B5DA2" w:rsidR="006A4C1C" w:rsidRPr="006C213B" w:rsidRDefault="006A4C1C" w:rsidP="006A4C1C">
      <w:pPr>
        <w:pStyle w:val="Ttulo1"/>
        <w:rPr>
          <w:b w:val="0"/>
          <w:color w:val="002060"/>
          <w:lang w:val="en-US"/>
        </w:rPr>
      </w:pPr>
      <w:r w:rsidRPr="006C213B">
        <w:rPr>
          <w:color w:val="002060"/>
          <w:lang w:val="en-US"/>
        </w:rPr>
        <w:t>Methods</w:t>
      </w:r>
      <w:r w:rsidRPr="006C213B">
        <w:rPr>
          <w:b w:val="0"/>
          <w:color w:val="002060"/>
          <w:lang w:val="en-US"/>
        </w:rPr>
        <w:t>: A review was carried out of the PubMed literature of papers published in English in the period 2011-2021; the search terms adopted were “posterior tibial malleolus fractures”, “posterior tibial malleolus fracture classification”, reatment of fractures of the posterior tibial malleolus". Articles freely accessible or through Clinical Key and Hinari service were also reviewed.</w:t>
      </w:r>
      <w:r w:rsidR="00943070" w:rsidRPr="006C213B">
        <w:rPr>
          <w:b w:val="0"/>
          <w:color w:val="002060"/>
          <w:lang w:val="en-US"/>
        </w:rPr>
        <w:t xml:space="preserve"> </w:t>
      </w:r>
      <w:r w:rsidR="00943070" w:rsidRPr="006C213B">
        <w:rPr>
          <w:b w:val="0"/>
          <w:color w:val="002060"/>
          <w:lang w:val="en-US"/>
        </w:rPr>
        <w:br/>
      </w:r>
      <w:r w:rsidRPr="006C213B">
        <w:rPr>
          <w:color w:val="002060"/>
          <w:lang w:val="en-US"/>
        </w:rPr>
        <w:t>Conclusions</w:t>
      </w:r>
      <w:r w:rsidRPr="006C213B">
        <w:rPr>
          <w:b w:val="0"/>
          <w:color w:val="002060"/>
          <w:lang w:val="en-US"/>
        </w:rPr>
        <w:t>: The anatomical repositioning of the posterior tibial malleolus in ankle fractures allows to achieve better results. The classifications and the posterolateral approach help to achieve this.</w:t>
      </w:r>
    </w:p>
    <w:p w14:paraId="5477FEC4" w14:textId="77777777" w:rsidR="00943070" w:rsidRPr="006C213B" w:rsidRDefault="00943070" w:rsidP="00943070"/>
    <w:p w14:paraId="797EF380" w14:textId="77777777" w:rsidR="006A4C1C" w:rsidRPr="006C213B" w:rsidRDefault="006A4C1C" w:rsidP="006A4C1C">
      <w:pPr>
        <w:pStyle w:val="Ttulo1"/>
        <w:spacing w:before="0"/>
        <w:rPr>
          <w:b w:val="0"/>
          <w:color w:val="002060"/>
          <w:lang w:val="en-US"/>
        </w:rPr>
      </w:pPr>
      <w:r w:rsidRPr="006C213B">
        <w:rPr>
          <w:color w:val="002060"/>
          <w:lang w:val="en-US"/>
        </w:rPr>
        <w:t>Keywords</w:t>
      </w:r>
      <w:r w:rsidRPr="006C213B">
        <w:rPr>
          <w:b w:val="0"/>
          <w:color w:val="002060"/>
          <w:lang w:val="en-US"/>
        </w:rPr>
        <w:t>: posterior tibial malleolus; classification; treatment trends.</w:t>
      </w:r>
    </w:p>
    <w:p w14:paraId="7592B96B" w14:textId="77777777" w:rsidR="006A4C1C" w:rsidRPr="006C213B" w:rsidRDefault="006A4C1C" w:rsidP="006A4C1C">
      <w:pPr>
        <w:spacing w:after="0" w:line="360" w:lineRule="auto"/>
        <w:jc w:val="both"/>
        <w:rPr>
          <w:rFonts w:ascii="Arial" w:eastAsia="Calibri" w:hAnsi="Arial" w:cs="Arial"/>
          <w:b/>
          <w:sz w:val="24"/>
          <w:szCs w:val="24"/>
        </w:rPr>
      </w:pPr>
    </w:p>
    <w:p w14:paraId="3FED7381" w14:textId="77777777" w:rsidR="00CB5394" w:rsidRPr="006C213B" w:rsidRDefault="006A4C1C" w:rsidP="00CB5394">
      <w:pPr>
        <w:spacing w:after="0" w:line="360" w:lineRule="auto"/>
        <w:jc w:val="both"/>
        <w:rPr>
          <w:rFonts w:ascii="Arial" w:hAnsi="Arial" w:cs="Arial"/>
          <w:b/>
          <w:color w:val="002060"/>
          <w:sz w:val="24"/>
          <w:szCs w:val="24"/>
        </w:rPr>
      </w:pPr>
      <w:r w:rsidRPr="006C213B">
        <w:rPr>
          <w:rFonts w:ascii="Arial" w:hAnsi="Arial" w:cs="Arial"/>
          <w:b/>
          <w:color w:val="002060"/>
          <w:sz w:val="24"/>
          <w:szCs w:val="24"/>
        </w:rPr>
        <w:t>a_505</w:t>
      </w:r>
    </w:p>
    <w:p w14:paraId="353A1FC1" w14:textId="719BB97C" w:rsidR="006A4C1C" w:rsidRPr="006C213B" w:rsidRDefault="00CB5394" w:rsidP="00CB5394">
      <w:pPr>
        <w:spacing w:after="0" w:line="360" w:lineRule="auto"/>
        <w:jc w:val="both"/>
        <w:rPr>
          <w:rFonts w:ascii="Arial" w:hAnsi="Arial" w:cs="Arial"/>
          <w:b/>
          <w:color w:val="002060"/>
          <w:sz w:val="24"/>
          <w:szCs w:val="24"/>
        </w:rPr>
      </w:pPr>
      <w:r w:rsidRPr="006C213B">
        <w:rPr>
          <w:rFonts w:ascii="Arial" w:hAnsi="Arial" w:cs="Arial"/>
          <w:b/>
          <w:color w:val="002060"/>
          <w:sz w:val="24"/>
          <w:szCs w:val="24"/>
        </w:rPr>
        <w:t xml:space="preserve">Results of Functional Treatment of Metatarsal Fractures in </w:t>
      </w:r>
      <w:r w:rsidRPr="006C213B">
        <w:rPr>
          <w:rFonts w:ascii="Arial" w:hAnsi="Arial" w:cs="Arial"/>
          <w:b/>
          <w:color w:val="002060"/>
          <w:sz w:val="24"/>
          <w:szCs w:val="24"/>
        </w:rPr>
        <w:t>First Radius</w:t>
      </w:r>
      <w:r w:rsidRPr="006C213B">
        <w:rPr>
          <w:rFonts w:ascii="Arial" w:hAnsi="Arial" w:cs="Arial"/>
          <w:b/>
          <w:color w:val="002060"/>
          <w:sz w:val="24"/>
          <w:szCs w:val="24"/>
        </w:rPr>
        <w:t xml:space="preserve"> Fractures</w:t>
      </w:r>
    </w:p>
    <w:p w14:paraId="11E10150" w14:textId="77777777" w:rsidR="006A4C1C" w:rsidRPr="006C213B" w:rsidRDefault="006A4C1C" w:rsidP="00CB5394">
      <w:pPr>
        <w:pStyle w:val="Textoindependiente"/>
      </w:pPr>
      <w:r w:rsidRPr="006C213B">
        <w:t>Resultados del tratamiento funcional de las fracturas del metatarso en las fracturas del primer radio</w:t>
      </w:r>
    </w:p>
    <w:p w14:paraId="448E269C" w14:textId="77777777" w:rsidR="00CB5394" w:rsidRPr="006C213B" w:rsidRDefault="00CB5394" w:rsidP="00CB5394">
      <w:pPr>
        <w:pStyle w:val="Ttulo1"/>
        <w:contextualSpacing/>
        <w:rPr>
          <w:b w:val="0"/>
          <w:color w:val="002060"/>
          <w:lang w:val="en-US"/>
        </w:rPr>
      </w:pPr>
      <w:r w:rsidRPr="006C213B">
        <w:rPr>
          <w:color w:val="002060"/>
          <w:lang w:val="en-US"/>
        </w:rPr>
        <w:lastRenderedPageBreak/>
        <w:t>ABSTRACT</w:t>
      </w:r>
    </w:p>
    <w:p w14:paraId="1C6C1626" w14:textId="77777777" w:rsidR="00CB5394" w:rsidRPr="006C213B" w:rsidRDefault="00CB5394" w:rsidP="00CB5394">
      <w:pPr>
        <w:pStyle w:val="Ttulo1"/>
        <w:contextualSpacing/>
        <w:rPr>
          <w:b w:val="0"/>
          <w:color w:val="002060"/>
          <w:lang w:val="en-US"/>
        </w:rPr>
      </w:pPr>
      <w:r w:rsidRPr="006C213B">
        <w:rPr>
          <w:color w:val="002060"/>
          <w:lang w:val="en-US"/>
        </w:rPr>
        <w:t>Introduction</w:t>
      </w:r>
      <w:r w:rsidRPr="006C213B">
        <w:rPr>
          <w:b w:val="0"/>
          <w:color w:val="002060"/>
          <w:lang w:val="en-US"/>
        </w:rPr>
        <w:t>: Metatarsal fractures are the most common traumatic injuries of the foot, and those of the first metatarsal are the fourth in frequency. The functional treatment of metatarsal fractures consists of effective and early support, without limb immobilization.</w:t>
      </w:r>
    </w:p>
    <w:p w14:paraId="46449DC3" w14:textId="77777777" w:rsidR="00256D5F" w:rsidRPr="006C213B" w:rsidRDefault="00CB5394" w:rsidP="00CB5394">
      <w:pPr>
        <w:pStyle w:val="Ttulo1"/>
        <w:contextualSpacing/>
        <w:rPr>
          <w:b w:val="0"/>
          <w:color w:val="002060"/>
          <w:lang w:val="en-US"/>
        </w:rPr>
      </w:pPr>
      <w:r w:rsidRPr="006C213B">
        <w:rPr>
          <w:color w:val="002060"/>
          <w:lang w:val="en-US"/>
        </w:rPr>
        <w:t>Objective</w:t>
      </w:r>
      <w:r w:rsidRPr="006C213B">
        <w:rPr>
          <w:b w:val="0"/>
          <w:color w:val="002060"/>
          <w:lang w:val="en-US"/>
        </w:rPr>
        <w:t>: To compare the effectiveness of functional treatment in fractures of the first metatarsal with conventional treatments.</w:t>
      </w:r>
    </w:p>
    <w:p w14:paraId="309A88C3" w14:textId="77777777" w:rsidR="00111733" w:rsidRPr="006C213B" w:rsidRDefault="00256D5F" w:rsidP="00CB5394">
      <w:pPr>
        <w:pStyle w:val="Ttulo1"/>
        <w:contextualSpacing/>
        <w:rPr>
          <w:b w:val="0"/>
          <w:color w:val="002060"/>
          <w:lang w:val="en-US"/>
        </w:rPr>
      </w:pPr>
      <w:r w:rsidRPr="006C213B">
        <w:rPr>
          <w:color w:val="002060"/>
          <w:lang w:val="en-US"/>
        </w:rPr>
        <w:t>Methods</w:t>
      </w:r>
      <w:r w:rsidRPr="006C213B">
        <w:rPr>
          <w:b w:val="0"/>
          <w:color w:val="002060"/>
          <w:lang w:val="en-US"/>
        </w:rPr>
        <w:t>: An analytical, observational, retrospective, case-control study was conducted on 102 first metatarsal fractures over a period of eight years. The sample included patients of both sexes, between 16 and 65 years of age. Functional treatment was compared with orthopedic and surgical treatments. The fractures were classified according to location, therapeutic recommendation and treatment. The results were evaluated according to the duration of the temporary incapacity and the complications.</w:t>
      </w:r>
    </w:p>
    <w:p w14:paraId="1F87D482" w14:textId="77777777" w:rsidR="00111733" w:rsidRPr="006C213B" w:rsidRDefault="00111733" w:rsidP="00111733">
      <w:pPr>
        <w:pStyle w:val="Ttulo1"/>
        <w:contextualSpacing/>
        <w:rPr>
          <w:b w:val="0"/>
          <w:color w:val="002060"/>
          <w:lang w:val="en-US"/>
        </w:rPr>
      </w:pPr>
      <w:r w:rsidRPr="006C213B">
        <w:rPr>
          <w:color w:val="002060"/>
          <w:lang w:val="en-US"/>
        </w:rPr>
        <w:t>Results</w:t>
      </w:r>
      <w:r w:rsidRPr="006C213B">
        <w:rPr>
          <w:b w:val="0"/>
          <w:color w:val="002060"/>
          <w:lang w:val="en-US"/>
        </w:rPr>
        <w:t>: Forty eight fractures were treated with the functional method and 41 by offloading and immobilization. The thirteen patients with surgical indication criteria were operated by reduction and osteosynthesis. A shorter duration of disability and fewer complications were achieved with functional treatment than with conventional treatments.</w:t>
      </w:r>
    </w:p>
    <w:p w14:paraId="74FF3A93" w14:textId="38F03567" w:rsidR="00111733" w:rsidRPr="006C213B" w:rsidRDefault="00111733" w:rsidP="00111733">
      <w:pPr>
        <w:pStyle w:val="Ttulo1"/>
        <w:contextualSpacing/>
        <w:rPr>
          <w:b w:val="0"/>
          <w:color w:val="002060"/>
          <w:lang w:val="en-US"/>
        </w:rPr>
      </w:pPr>
      <w:r w:rsidRPr="006C213B">
        <w:rPr>
          <w:color w:val="002060"/>
          <w:lang w:val="en-US"/>
        </w:rPr>
        <w:t>Conclusions</w:t>
      </w:r>
      <w:r w:rsidRPr="006C213B">
        <w:rPr>
          <w:b w:val="0"/>
          <w:color w:val="002060"/>
          <w:lang w:val="en-US"/>
        </w:rPr>
        <w:t>: In recent years, the tendency to treat metatarsal fractures conservatively has increased and many authors recommend the functional method as the treatment of choice. This provides earlier healing and causes fewer complications than conventional treatments.</w:t>
      </w:r>
    </w:p>
    <w:p w14:paraId="723D7067" w14:textId="77777777" w:rsidR="00111733" w:rsidRPr="006C213B" w:rsidRDefault="00111733" w:rsidP="00111733"/>
    <w:p w14:paraId="37BC3AD5" w14:textId="7E772225" w:rsidR="00CB5394" w:rsidRPr="006C213B" w:rsidRDefault="00111733" w:rsidP="00111733">
      <w:pPr>
        <w:pStyle w:val="Ttulo1"/>
        <w:contextualSpacing/>
        <w:rPr>
          <w:b w:val="0"/>
          <w:color w:val="002060"/>
          <w:lang w:val="en-US"/>
        </w:rPr>
      </w:pPr>
      <w:r w:rsidRPr="006C213B">
        <w:rPr>
          <w:color w:val="002060"/>
          <w:lang w:val="en-US"/>
        </w:rPr>
        <w:t>Keywords</w:t>
      </w:r>
      <w:r w:rsidRPr="006C213B">
        <w:rPr>
          <w:b w:val="0"/>
          <w:color w:val="002060"/>
          <w:lang w:val="en-US"/>
        </w:rPr>
        <w:t>: first metatarsal; forefoot; fracture; support for; burden; conservative treatment; functional treatment.</w:t>
      </w:r>
    </w:p>
    <w:p w14:paraId="328F8A38" w14:textId="77777777" w:rsidR="006A4C1C" w:rsidRPr="006C213B" w:rsidRDefault="006A4C1C" w:rsidP="006A4C1C">
      <w:pPr>
        <w:spacing w:line="360" w:lineRule="auto"/>
        <w:jc w:val="both"/>
        <w:rPr>
          <w:rFonts w:ascii="Arial" w:hAnsi="Arial" w:cs="Arial"/>
          <w:b/>
          <w:sz w:val="24"/>
          <w:szCs w:val="24"/>
        </w:rPr>
      </w:pPr>
    </w:p>
    <w:p w14:paraId="45F71199" w14:textId="4DF0BF3A" w:rsidR="00B72EC3" w:rsidRPr="006C213B" w:rsidRDefault="006A4C1C" w:rsidP="006A4C1C">
      <w:pPr>
        <w:spacing w:line="360" w:lineRule="auto"/>
        <w:jc w:val="both"/>
        <w:rPr>
          <w:rFonts w:ascii="Arial" w:hAnsi="Arial" w:cs="Arial"/>
          <w:b/>
          <w:color w:val="002060"/>
          <w:sz w:val="24"/>
          <w:szCs w:val="24"/>
        </w:rPr>
      </w:pPr>
      <w:r w:rsidRPr="006C213B">
        <w:rPr>
          <w:rFonts w:ascii="Arial" w:hAnsi="Arial" w:cs="Arial"/>
          <w:b/>
          <w:color w:val="002060"/>
          <w:sz w:val="24"/>
          <w:szCs w:val="24"/>
        </w:rPr>
        <w:t>a_506</w:t>
      </w:r>
      <w:r w:rsidR="00B0686D" w:rsidRPr="006C213B">
        <w:rPr>
          <w:rFonts w:ascii="Arial" w:hAnsi="Arial" w:cs="Arial"/>
          <w:b/>
          <w:color w:val="002060"/>
          <w:sz w:val="24"/>
          <w:szCs w:val="24"/>
        </w:rPr>
        <w:t xml:space="preserve"> </w:t>
      </w:r>
      <w:r w:rsidR="00B0686D" w:rsidRPr="006C213B">
        <w:rPr>
          <w:rFonts w:ascii="Arial" w:hAnsi="Arial" w:cs="Arial"/>
          <w:color w:val="002060"/>
          <w:sz w:val="24"/>
          <w:szCs w:val="24"/>
        </w:rPr>
        <w:t>(original en inglés)</w:t>
      </w:r>
    </w:p>
    <w:p w14:paraId="47B64F06" w14:textId="44047F20" w:rsidR="006A4C1C" w:rsidRPr="006C213B" w:rsidRDefault="00B0686D" w:rsidP="00B0686D">
      <w:pPr>
        <w:spacing w:after="0" w:line="360" w:lineRule="auto"/>
        <w:jc w:val="both"/>
        <w:rPr>
          <w:rFonts w:ascii="Arial" w:hAnsi="Arial" w:cs="Arial"/>
          <w:b/>
          <w:color w:val="002060"/>
          <w:sz w:val="24"/>
          <w:szCs w:val="24"/>
        </w:rPr>
      </w:pPr>
      <w:r w:rsidRPr="006C213B">
        <w:rPr>
          <w:rFonts w:ascii="Arial" w:hAnsi="Arial" w:cs="Arial"/>
          <w:b/>
          <w:color w:val="002060"/>
          <w:sz w:val="24"/>
          <w:szCs w:val="24"/>
        </w:rPr>
        <w:t xml:space="preserve">Adecuación de la terapia hidrocinética </w:t>
      </w:r>
      <w:r w:rsidR="00B72EC3" w:rsidRPr="006C213B">
        <w:rPr>
          <w:rFonts w:ascii="Arial" w:hAnsi="Arial" w:cs="Arial"/>
          <w:b/>
          <w:color w:val="002060"/>
          <w:sz w:val="24"/>
          <w:szCs w:val="24"/>
        </w:rPr>
        <w:t>en el paciente ortopédico-traumatológico: un estudio transversal</w:t>
      </w:r>
    </w:p>
    <w:p w14:paraId="38027A5D" w14:textId="77777777" w:rsidR="006A4C1C" w:rsidRPr="006C213B" w:rsidRDefault="006A4C1C" w:rsidP="00B0686D">
      <w:pPr>
        <w:pStyle w:val="Textoindependiente"/>
        <w:spacing w:after="0"/>
      </w:pPr>
      <w:r w:rsidRPr="006C213B">
        <w:t>Appropriateness of hydrokinesitherapy in the orthopedic-traumatological patient: a cross sectional survey</w:t>
      </w:r>
    </w:p>
    <w:p w14:paraId="521D0BD0" w14:textId="77777777" w:rsidR="006A4C1C" w:rsidRPr="006C213B" w:rsidRDefault="006A4C1C" w:rsidP="006A4C1C">
      <w:pPr>
        <w:spacing w:line="360" w:lineRule="auto"/>
        <w:jc w:val="both"/>
        <w:rPr>
          <w:rFonts w:ascii="Arial" w:hAnsi="Arial" w:cs="Arial"/>
          <w:b/>
          <w:sz w:val="24"/>
          <w:szCs w:val="24"/>
        </w:rPr>
      </w:pPr>
    </w:p>
    <w:p w14:paraId="7AA9637D" w14:textId="77777777" w:rsidR="00B0686D" w:rsidRPr="006C213B" w:rsidRDefault="00B0686D" w:rsidP="00B0686D">
      <w:pPr>
        <w:pStyle w:val="Ttulo2"/>
      </w:pPr>
      <w:r w:rsidRPr="006C213B">
        <w:lastRenderedPageBreak/>
        <w:t>RESUMEN</w:t>
      </w:r>
    </w:p>
    <w:p w14:paraId="3F5C08DB" w14:textId="77777777" w:rsidR="00754D56" w:rsidRPr="006C213B" w:rsidRDefault="00B0686D" w:rsidP="00B0686D">
      <w:pPr>
        <w:pStyle w:val="Textoindependiente2"/>
        <w:rPr>
          <w:lang w:val="en-US"/>
        </w:rPr>
      </w:pPr>
      <w:r w:rsidRPr="006C213B">
        <w:rPr>
          <w:lang w:val="en-US"/>
        </w:rPr>
        <w:t xml:space="preserve">Introducción: </w:t>
      </w:r>
      <w:r w:rsidRPr="006C213B">
        <w:rPr>
          <w:b w:val="0"/>
          <w:lang w:val="en-US"/>
        </w:rPr>
        <w:t xml:space="preserve">La </w:t>
      </w:r>
      <w:r w:rsidR="009C0655" w:rsidRPr="006C213B">
        <w:rPr>
          <w:b w:val="0"/>
          <w:lang w:val="en-US"/>
        </w:rPr>
        <w:t>terapia hidrocinética</w:t>
      </w:r>
      <w:r w:rsidRPr="006C213B">
        <w:rPr>
          <w:b w:val="0"/>
          <w:lang w:val="en-US"/>
        </w:rPr>
        <w:t xml:space="preserve"> es un método rehabilitador utilizado para el tratamiento de diferentes tipos de problemas ortopédicos, neurológicos, respiratorios, </w:t>
      </w:r>
      <w:r w:rsidR="00D4276D" w:rsidRPr="006C213B">
        <w:rPr>
          <w:b w:val="0"/>
          <w:lang w:val="en-US"/>
        </w:rPr>
        <w:t>entre otros.</w:t>
      </w:r>
      <w:r w:rsidRPr="006C213B">
        <w:rPr>
          <w:b w:val="0"/>
          <w:lang w:val="en-US"/>
        </w:rPr>
        <w:t xml:space="preserve"> Sin embargo, </w:t>
      </w:r>
      <w:r w:rsidR="007F7C75" w:rsidRPr="006C213B">
        <w:rPr>
          <w:b w:val="0"/>
          <w:lang w:val="en-US"/>
        </w:rPr>
        <w:t xml:space="preserve">en </w:t>
      </w:r>
      <w:r w:rsidRPr="006C213B">
        <w:rPr>
          <w:b w:val="0"/>
          <w:lang w:val="en-US"/>
        </w:rPr>
        <w:t xml:space="preserve">la literatura existente no </w:t>
      </w:r>
      <w:r w:rsidR="007F7C75" w:rsidRPr="006C213B">
        <w:rPr>
          <w:b w:val="0"/>
          <w:lang w:val="en-US"/>
        </w:rPr>
        <w:t xml:space="preserve">abundan </w:t>
      </w:r>
      <w:r w:rsidRPr="006C213B">
        <w:rPr>
          <w:b w:val="0"/>
          <w:lang w:val="en-US"/>
        </w:rPr>
        <w:t>evidencia</w:t>
      </w:r>
      <w:r w:rsidR="007F7C75" w:rsidRPr="006C213B">
        <w:rPr>
          <w:b w:val="0"/>
          <w:lang w:val="en-US"/>
        </w:rPr>
        <w:t>s</w:t>
      </w:r>
      <w:r w:rsidRPr="006C213B">
        <w:rPr>
          <w:b w:val="0"/>
          <w:lang w:val="en-US"/>
        </w:rPr>
        <w:t xml:space="preserve"> en cuanto a la mayor eficacia del tratamiento con agua </w:t>
      </w:r>
      <w:r w:rsidR="007F7C75" w:rsidRPr="006C213B">
        <w:rPr>
          <w:b w:val="0"/>
          <w:lang w:val="en-US"/>
        </w:rPr>
        <w:t xml:space="preserve">en comparación con el </w:t>
      </w:r>
      <w:r w:rsidRPr="006C213B">
        <w:rPr>
          <w:b w:val="0"/>
          <w:lang w:val="en-US"/>
        </w:rPr>
        <w:t xml:space="preserve"> tratamiento seco en pacientes con resultados traumáticos.</w:t>
      </w:r>
      <w:r w:rsidR="007F7C75" w:rsidRPr="006C213B">
        <w:rPr>
          <w:lang w:val="en-US"/>
        </w:rPr>
        <w:t xml:space="preserve"> Objetivo</w:t>
      </w:r>
      <w:r w:rsidR="00754D56" w:rsidRPr="006C213B">
        <w:rPr>
          <w:b w:val="0"/>
          <w:lang w:val="en-US"/>
        </w:rPr>
        <w:t xml:space="preserve">: A través </w:t>
      </w:r>
      <w:r w:rsidR="007F7C75" w:rsidRPr="006C213B">
        <w:rPr>
          <w:b w:val="0"/>
          <w:lang w:val="en-US"/>
        </w:rPr>
        <w:t xml:space="preserve">de un cuestionario, se intentó investigar la experiencia de rehabilitación de los terapeutas hidrocinéticos (entrenados con el llamado Enfoque Secuencial y Preparatorio) para comprender las áreas de </w:t>
      </w:r>
      <w:r w:rsidR="00754D56" w:rsidRPr="006C213B">
        <w:rPr>
          <w:b w:val="0"/>
          <w:lang w:val="en-US"/>
        </w:rPr>
        <w:t>l</w:t>
      </w:r>
      <w:r w:rsidR="00754D56" w:rsidRPr="006C213B">
        <w:rPr>
          <w:b w:val="0"/>
          <w:lang w:val="en-US"/>
        </w:rPr>
        <w:t xml:space="preserve">a terapia hidrocinética </w:t>
      </w:r>
      <w:r w:rsidR="007F7C75" w:rsidRPr="006C213B">
        <w:rPr>
          <w:b w:val="0"/>
          <w:lang w:val="en-US"/>
        </w:rPr>
        <w:t>y los métodos de aplicación adecuados con base en la opinión de expertos.</w:t>
      </w:r>
    </w:p>
    <w:p w14:paraId="44FA41E3" w14:textId="77777777" w:rsidR="00754D56" w:rsidRPr="006C213B" w:rsidRDefault="00754D56" w:rsidP="00754D56">
      <w:pPr>
        <w:pStyle w:val="Textoindependiente2"/>
        <w:rPr>
          <w:b w:val="0"/>
          <w:lang w:val="en-US"/>
        </w:rPr>
      </w:pPr>
      <w:r w:rsidRPr="006C213B">
        <w:rPr>
          <w:lang w:val="en-US"/>
        </w:rPr>
        <w:t>Métodos</w:t>
      </w:r>
      <w:r w:rsidRPr="006C213B">
        <w:rPr>
          <w:b w:val="0"/>
          <w:lang w:val="en-US"/>
        </w:rPr>
        <w:t xml:space="preserve">: Se realizó un estudio transversal en el año 2020 mediante la administración de un cuestionario a fisioterapeutas formados en </w:t>
      </w:r>
      <w:r w:rsidRPr="006C213B">
        <w:rPr>
          <w:b w:val="0"/>
          <w:lang w:val="en-US"/>
        </w:rPr>
        <w:t>la terapia hidrocinética</w:t>
      </w:r>
      <w:r w:rsidRPr="006C213B">
        <w:rPr>
          <w:b w:val="0"/>
          <w:lang w:val="en-US"/>
        </w:rPr>
        <w:t xml:space="preserve"> según el método de Abordaje Secuencial y Preparatorio, con el objetivo de averiguar su opinión sobre el uso de la </w:t>
      </w:r>
      <w:r w:rsidRPr="006C213B">
        <w:rPr>
          <w:b w:val="0"/>
          <w:lang w:val="en-US"/>
        </w:rPr>
        <w:t>terapia hidrocinética</w:t>
      </w:r>
      <w:r w:rsidRPr="006C213B">
        <w:rPr>
          <w:b w:val="0"/>
          <w:lang w:val="en-US"/>
        </w:rPr>
        <w:t xml:space="preserve"> en pacientes con diversos problemas ortopédico-traumatológicos. Se</w:t>
      </w:r>
      <w:r w:rsidRPr="006C213B">
        <w:rPr>
          <w:b w:val="0"/>
          <w:lang w:val="en-US"/>
        </w:rPr>
        <w:t xml:space="preserve"> utilizó la plataforma Microsoft FORMS®</w:t>
      </w:r>
      <w:r w:rsidRPr="006C213B">
        <w:rPr>
          <w:b w:val="0"/>
          <w:lang w:val="en-US"/>
        </w:rPr>
        <w:t xml:space="preserve"> para la administración del cuestionario.</w:t>
      </w:r>
      <w:r w:rsidRPr="006C213B">
        <w:rPr>
          <w:lang w:val="en-US"/>
        </w:rPr>
        <w:t xml:space="preserve"> Resultados</w:t>
      </w:r>
      <w:r w:rsidRPr="006C213B">
        <w:rPr>
          <w:b w:val="0"/>
          <w:lang w:val="en-US"/>
        </w:rPr>
        <w:t xml:space="preserve">: Sesenta y dos usuarios participaron en el estudio. De sus respuestas surgió que no se recomienda el uso de la </w:t>
      </w:r>
      <w:r w:rsidRPr="006C213B">
        <w:rPr>
          <w:b w:val="0"/>
          <w:lang w:val="en-US"/>
        </w:rPr>
        <w:t xml:space="preserve">terapia hidrocinética </w:t>
      </w:r>
      <w:r w:rsidRPr="006C213B">
        <w:rPr>
          <w:b w:val="0"/>
          <w:lang w:val="en-US"/>
        </w:rPr>
        <w:t>para el tratamiento de la hipersensibilización postraumática de los tejidos perilesionales (cicatrices hipersensibles; hipersensibilización general) y síndromes neuropáticos (de miembros superiores e inferiores).</w:t>
      </w:r>
    </w:p>
    <w:p w14:paraId="5AEBE13B" w14:textId="4808655A" w:rsidR="00754D56" w:rsidRPr="006C213B" w:rsidRDefault="00754D56" w:rsidP="00754D56">
      <w:pPr>
        <w:pStyle w:val="Textoindependiente2"/>
        <w:rPr>
          <w:b w:val="0"/>
          <w:lang w:val="en-US"/>
        </w:rPr>
      </w:pPr>
      <w:r w:rsidRPr="006C213B">
        <w:rPr>
          <w:lang w:val="en-US"/>
        </w:rPr>
        <w:t>Conclusiones</w:t>
      </w:r>
      <w:r w:rsidRPr="006C213B">
        <w:rPr>
          <w:b w:val="0"/>
          <w:lang w:val="en-US"/>
        </w:rPr>
        <w:t xml:space="preserve">: Los datos obtenidos del cuestionario no fueron suficientes para crear una ruta específica </w:t>
      </w:r>
      <w:r w:rsidRPr="006C213B">
        <w:rPr>
          <w:b w:val="0"/>
          <w:lang w:val="en-US"/>
        </w:rPr>
        <w:t>que defina</w:t>
      </w:r>
      <w:r w:rsidRPr="006C213B">
        <w:rPr>
          <w:b w:val="0"/>
          <w:lang w:val="en-US"/>
        </w:rPr>
        <w:t xml:space="preserve"> la idoneidad de la terapia hidrocinética para algunos problemas ortopédicos-traumatológicos, pero podría considerarse un buen punto de partida para construir futuros desarrollos a través de estudios adicionales.</w:t>
      </w:r>
    </w:p>
    <w:p w14:paraId="05250D9C" w14:textId="77777777" w:rsidR="00754D56" w:rsidRPr="006C213B" w:rsidRDefault="00754D56" w:rsidP="00754D56">
      <w:pPr>
        <w:pStyle w:val="Textoindependiente2"/>
        <w:rPr>
          <w:b w:val="0"/>
          <w:lang w:val="en-US"/>
        </w:rPr>
      </w:pPr>
    </w:p>
    <w:p w14:paraId="4B57806A" w14:textId="6021792D" w:rsidR="00B0686D" w:rsidRPr="006C213B" w:rsidRDefault="00754D56" w:rsidP="00754D56">
      <w:pPr>
        <w:pStyle w:val="Textoindependiente2"/>
        <w:rPr>
          <w:b w:val="0"/>
          <w:lang w:val="en-US"/>
        </w:rPr>
      </w:pPr>
      <w:r w:rsidRPr="006C213B">
        <w:rPr>
          <w:lang w:val="en-US"/>
        </w:rPr>
        <w:t>Palabras clave</w:t>
      </w:r>
      <w:r w:rsidRPr="006C213B">
        <w:rPr>
          <w:b w:val="0"/>
          <w:lang w:val="en-US"/>
        </w:rPr>
        <w:t xml:space="preserve">: terapia hidrocinética; </w:t>
      </w:r>
      <w:r w:rsidRPr="006C213B">
        <w:rPr>
          <w:b w:val="0"/>
          <w:lang w:val="en-US"/>
        </w:rPr>
        <w:t>ortopedia</w:t>
      </w:r>
      <w:r w:rsidRPr="006C213B">
        <w:rPr>
          <w:b w:val="0"/>
          <w:lang w:val="en-US"/>
        </w:rPr>
        <w:t>; oportunidad.</w:t>
      </w:r>
    </w:p>
    <w:p w14:paraId="7F159D4E" w14:textId="77777777" w:rsidR="00754D56" w:rsidRPr="006C213B" w:rsidRDefault="00754D56" w:rsidP="00B0686D">
      <w:pPr>
        <w:pStyle w:val="Textoindependiente2"/>
        <w:rPr>
          <w:b w:val="0"/>
          <w:lang w:val="en-US"/>
        </w:rPr>
      </w:pPr>
    </w:p>
    <w:p w14:paraId="5B7280B4" w14:textId="77777777" w:rsidR="000304B0" w:rsidRPr="006C213B" w:rsidRDefault="006A4C1C" w:rsidP="006A4C1C">
      <w:pPr>
        <w:spacing w:line="360" w:lineRule="auto"/>
        <w:jc w:val="both"/>
        <w:rPr>
          <w:rFonts w:ascii="Arial" w:hAnsi="Arial" w:cs="Arial"/>
          <w:b/>
          <w:color w:val="002060"/>
          <w:sz w:val="24"/>
          <w:szCs w:val="24"/>
        </w:rPr>
      </w:pPr>
      <w:r w:rsidRPr="006C213B">
        <w:rPr>
          <w:rFonts w:ascii="Arial" w:hAnsi="Arial" w:cs="Arial"/>
          <w:b/>
          <w:color w:val="002060"/>
          <w:sz w:val="24"/>
          <w:szCs w:val="24"/>
        </w:rPr>
        <w:t>a_534</w:t>
      </w:r>
    </w:p>
    <w:p w14:paraId="64FF1D45" w14:textId="2CB9DB36" w:rsidR="006A4C1C" w:rsidRPr="006C213B" w:rsidRDefault="000304B0" w:rsidP="006A4C1C">
      <w:pPr>
        <w:spacing w:line="360" w:lineRule="auto"/>
        <w:jc w:val="both"/>
        <w:rPr>
          <w:rFonts w:ascii="Arial" w:hAnsi="Arial" w:cs="Arial"/>
          <w:b/>
          <w:color w:val="002060"/>
          <w:sz w:val="24"/>
          <w:szCs w:val="24"/>
        </w:rPr>
      </w:pPr>
      <w:r w:rsidRPr="006C213B">
        <w:rPr>
          <w:rFonts w:ascii="Arial" w:hAnsi="Arial" w:cs="Arial"/>
          <w:b/>
          <w:color w:val="002060"/>
          <w:sz w:val="24"/>
          <w:szCs w:val="24"/>
        </w:rPr>
        <w:t>Nocardia Asteroids Mycetoma</w:t>
      </w:r>
    </w:p>
    <w:p w14:paraId="2A12C393" w14:textId="77777777" w:rsidR="006A4C1C" w:rsidRPr="006C213B" w:rsidRDefault="006A4C1C" w:rsidP="006A4C1C">
      <w:pPr>
        <w:spacing w:line="360" w:lineRule="auto"/>
        <w:jc w:val="both"/>
        <w:rPr>
          <w:rFonts w:ascii="Arial" w:hAnsi="Arial" w:cs="Arial"/>
          <w:b/>
          <w:sz w:val="24"/>
          <w:szCs w:val="24"/>
        </w:rPr>
      </w:pPr>
      <w:r w:rsidRPr="006C213B">
        <w:rPr>
          <w:rFonts w:ascii="Arial" w:hAnsi="Arial" w:cs="Arial"/>
          <w:b/>
          <w:sz w:val="24"/>
          <w:szCs w:val="24"/>
        </w:rPr>
        <w:t>Micetoma por Nocardia asteroids</w:t>
      </w:r>
    </w:p>
    <w:p w14:paraId="2CE59A46" w14:textId="77777777" w:rsidR="006A4C1C" w:rsidRPr="006C213B" w:rsidRDefault="006A4C1C" w:rsidP="006A4C1C">
      <w:pPr>
        <w:spacing w:line="360" w:lineRule="auto"/>
        <w:jc w:val="both"/>
        <w:rPr>
          <w:rFonts w:ascii="Arial" w:hAnsi="Arial" w:cs="Arial"/>
          <w:b/>
          <w:sz w:val="24"/>
          <w:szCs w:val="24"/>
        </w:rPr>
      </w:pPr>
    </w:p>
    <w:p w14:paraId="1A249312" w14:textId="77777777" w:rsidR="000304B0" w:rsidRPr="006C213B" w:rsidRDefault="000304B0" w:rsidP="000304B0">
      <w:pPr>
        <w:pStyle w:val="Ttulo2"/>
        <w:suppressAutoHyphens/>
        <w:contextualSpacing w:val="0"/>
        <w:textDirection w:val="btLr"/>
        <w:textAlignment w:val="top"/>
        <w:rPr>
          <w:rFonts w:eastAsia="Arial"/>
          <w:position w:val="-1"/>
        </w:rPr>
      </w:pPr>
      <w:r w:rsidRPr="006C213B">
        <w:rPr>
          <w:rFonts w:eastAsia="Arial"/>
          <w:position w:val="-1"/>
        </w:rPr>
        <w:t>ABSTRACT</w:t>
      </w:r>
    </w:p>
    <w:p w14:paraId="6CB7F4CA" w14:textId="1D3056BA" w:rsidR="006C213B" w:rsidRPr="006C213B" w:rsidRDefault="000304B0" w:rsidP="006C213B">
      <w:pPr>
        <w:pStyle w:val="Textoindependiente3"/>
        <w:rPr>
          <w:lang w:val="en-US"/>
        </w:rPr>
      </w:pPr>
      <w:r w:rsidRPr="006C213B">
        <w:rPr>
          <w:b/>
          <w:lang w:val="en-US"/>
        </w:rPr>
        <w:t>Introduction</w:t>
      </w:r>
      <w:r w:rsidRPr="006C213B">
        <w:rPr>
          <w:lang w:val="en-US"/>
        </w:rPr>
        <w:t>: In 1860</w:t>
      </w:r>
      <w:r w:rsidRPr="006C213B">
        <w:rPr>
          <w:lang w:val="en-US"/>
        </w:rPr>
        <w:t>,</w:t>
      </w:r>
      <w:r w:rsidRPr="006C213B">
        <w:rPr>
          <w:lang w:val="en-US"/>
        </w:rPr>
        <w:t xml:space="preserve"> Henry Van Carter introduced the definition of mycetoma and since 1884 the first cases </w:t>
      </w:r>
      <w:r w:rsidR="006C213B" w:rsidRPr="006C213B">
        <w:rPr>
          <w:lang w:val="en-US"/>
        </w:rPr>
        <w:t>have been reported</w:t>
      </w:r>
      <w:r w:rsidR="006C213B" w:rsidRPr="006C213B">
        <w:rPr>
          <w:lang w:val="en-US"/>
        </w:rPr>
        <w:t xml:space="preserve"> </w:t>
      </w:r>
      <w:r w:rsidRPr="006C213B">
        <w:rPr>
          <w:lang w:val="en-US"/>
        </w:rPr>
        <w:t>in Africa (Sudan, Senegal). These infections affect the skin, the subcutaneous cellular tissue and, sometimes, the muscles, the bones, and</w:t>
      </w:r>
      <w:r w:rsidR="006C213B" w:rsidRPr="006C213B">
        <w:rPr>
          <w:lang w:val="en-US"/>
        </w:rPr>
        <w:t xml:space="preserve"> it</w:t>
      </w:r>
      <w:r w:rsidRPr="006C213B">
        <w:rPr>
          <w:lang w:val="en-US"/>
        </w:rPr>
        <w:t xml:space="preserve"> can spread throughout the thoracic cavity, the abdominal cavity, and other regions of the body.</w:t>
      </w:r>
    </w:p>
    <w:p w14:paraId="4A2A7BBF" w14:textId="77777777" w:rsidR="006C213B" w:rsidRPr="006C213B" w:rsidRDefault="000304B0" w:rsidP="006C213B">
      <w:pPr>
        <w:pStyle w:val="Textoindependiente3"/>
        <w:rPr>
          <w:lang w:val="en-US"/>
        </w:rPr>
      </w:pPr>
      <w:r w:rsidRPr="006C213B">
        <w:rPr>
          <w:b/>
          <w:lang w:val="en-US"/>
        </w:rPr>
        <w:t>Objective</w:t>
      </w:r>
      <w:r w:rsidRPr="006C213B">
        <w:rPr>
          <w:lang w:val="en-US"/>
        </w:rPr>
        <w:t xml:space="preserve">: To </w:t>
      </w:r>
      <w:r w:rsidR="006C213B" w:rsidRPr="006C213B">
        <w:rPr>
          <w:lang w:val="en-US"/>
        </w:rPr>
        <w:t>report</w:t>
      </w:r>
      <w:r w:rsidRPr="006C213B">
        <w:rPr>
          <w:lang w:val="en-US"/>
        </w:rPr>
        <w:t xml:space="preserve"> a case of mycetoma due to </w:t>
      </w:r>
      <w:r w:rsidR="006C213B" w:rsidRPr="006C213B">
        <w:rPr>
          <w:lang w:val="en-US"/>
        </w:rPr>
        <w:t xml:space="preserve">nocardia </w:t>
      </w:r>
      <w:r w:rsidRPr="006C213B">
        <w:rPr>
          <w:lang w:val="en-US"/>
        </w:rPr>
        <w:t>asteroides with unfavorable evolution and treatment.</w:t>
      </w:r>
    </w:p>
    <w:p w14:paraId="37274A74" w14:textId="77777777" w:rsidR="00C505D7" w:rsidRDefault="006C213B" w:rsidP="00C505D7">
      <w:pPr>
        <w:pStyle w:val="Textoindependiente3"/>
        <w:rPr>
          <w:lang w:val="en-US"/>
        </w:rPr>
      </w:pPr>
      <w:r w:rsidRPr="006C213B">
        <w:rPr>
          <w:b/>
          <w:lang w:val="en-US"/>
        </w:rPr>
        <w:t>Case report</w:t>
      </w:r>
      <w:r w:rsidRPr="006C213B">
        <w:rPr>
          <w:lang w:val="en-US"/>
        </w:rPr>
        <w:t xml:space="preserve">: We report the case of a 47-year-old male patient who suffered a left knee trauma 18 years ago with an avulsive wound and unfavorable evolution due to infection. Ten years later, he presented, in the same site, multiple fistulous lesions with active drainage, scant serohematic, </w:t>
      </w:r>
      <w:r w:rsidRPr="006C213B">
        <w:rPr>
          <w:lang w:val="en-US"/>
        </w:rPr>
        <w:t>non</w:t>
      </w:r>
      <w:r w:rsidRPr="006C213B">
        <w:rPr>
          <w:lang w:val="en-US"/>
        </w:rPr>
        <w:t>-</w:t>
      </w:r>
      <w:r w:rsidRPr="006C213B">
        <w:rPr>
          <w:lang w:val="en-US"/>
        </w:rPr>
        <w:t>fetid</w:t>
      </w:r>
      <w:r w:rsidRPr="006C213B">
        <w:rPr>
          <w:lang w:val="en-US"/>
        </w:rPr>
        <w:t xml:space="preserve"> secretion. On several occasions he was taken to the operating room for surgical debridement and toilette and he received multiple antibiotic and antifungal treatments. The case was concluded as a mycetoma. Nocardia asteroides was isolated. The patient disagreed with limb amputation as definitive surgical treatment. He came to our </w:t>
      </w:r>
      <w:r w:rsidR="00C505D7">
        <w:rPr>
          <w:lang w:val="en-US"/>
        </w:rPr>
        <w:t>treatment center</w:t>
      </w:r>
      <w:r w:rsidRPr="006C213B">
        <w:rPr>
          <w:lang w:val="en-US"/>
        </w:rPr>
        <w:t xml:space="preserve"> in October 2020 with poor general condition and severe extension of the infectious process throughout the limb. A hemipelvectomy was planned as definitive treatment, but unfortunately the</w:t>
      </w:r>
      <w:r w:rsidR="00C505D7">
        <w:rPr>
          <w:lang w:val="en-US"/>
        </w:rPr>
        <w:t xml:space="preserve"> patient </w:t>
      </w:r>
      <w:r w:rsidRPr="006C213B">
        <w:rPr>
          <w:lang w:val="en-US"/>
        </w:rPr>
        <w:t xml:space="preserve">deceased </w:t>
      </w:r>
      <w:r w:rsidR="00C505D7">
        <w:rPr>
          <w:lang w:val="en-US"/>
        </w:rPr>
        <w:t xml:space="preserve">before </w:t>
      </w:r>
      <w:r w:rsidRPr="006C213B">
        <w:rPr>
          <w:lang w:val="en-US"/>
        </w:rPr>
        <w:t>due to general complications.</w:t>
      </w:r>
    </w:p>
    <w:p w14:paraId="1967BACF" w14:textId="29549E95" w:rsidR="00C505D7" w:rsidRDefault="00C505D7" w:rsidP="00C505D7">
      <w:pPr>
        <w:pStyle w:val="Textoindependiente3"/>
        <w:rPr>
          <w:lang w:val="en-US"/>
        </w:rPr>
      </w:pPr>
      <w:r w:rsidRPr="00C505D7">
        <w:rPr>
          <w:b/>
          <w:lang w:val="en-US"/>
        </w:rPr>
        <w:t>Conclusions</w:t>
      </w:r>
      <w:r w:rsidRPr="00C505D7">
        <w:rPr>
          <w:lang w:val="en-US"/>
        </w:rPr>
        <w:t xml:space="preserve">: Before the appearance of mycetoma, it is important to define the extent of the infection to determine the type of treatment to use, since it can save the patient's life if properly </w:t>
      </w:r>
      <w:r w:rsidR="000F3246" w:rsidRPr="00C505D7">
        <w:rPr>
          <w:lang w:val="en-US"/>
        </w:rPr>
        <w:t xml:space="preserve">used </w:t>
      </w:r>
      <w:r w:rsidRPr="00C505D7">
        <w:rPr>
          <w:lang w:val="en-US"/>
        </w:rPr>
        <w:t>and in a timely manner without leaving serious sequelae.</w:t>
      </w:r>
    </w:p>
    <w:p w14:paraId="2E547027" w14:textId="77777777" w:rsidR="000F3246" w:rsidRPr="00C505D7" w:rsidRDefault="000F3246" w:rsidP="00C505D7">
      <w:pPr>
        <w:pStyle w:val="Textoindependiente3"/>
        <w:rPr>
          <w:lang w:val="en-US"/>
        </w:rPr>
      </w:pPr>
    </w:p>
    <w:p w14:paraId="75EB7EC2" w14:textId="3B765CF5" w:rsidR="000304B0" w:rsidRPr="006C213B" w:rsidRDefault="00C505D7" w:rsidP="00C505D7">
      <w:pPr>
        <w:pStyle w:val="Textoindependiente3"/>
        <w:rPr>
          <w:lang w:val="en-US"/>
        </w:rPr>
      </w:pPr>
      <w:r w:rsidRPr="000F3246">
        <w:rPr>
          <w:b/>
          <w:lang w:val="en-US"/>
        </w:rPr>
        <w:t>Keywords</w:t>
      </w:r>
      <w:r w:rsidRPr="00C505D7">
        <w:rPr>
          <w:lang w:val="en-US"/>
        </w:rPr>
        <w:t>: Nocardia asteroides infection; lower limb mycetoma; actinomycetoma.</w:t>
      </w:r>
    </w:p>
    <w:p w14:paraId="299A78E5" w14:textId="77777777" w:rsidR="000304B0" w:rsidRPr="006C213B" w:rsidRDefault="000304B0" w:rsidP="000304B0">
      <w:pPr>
        <w:suppressAutoHyphens/>
        <w:spacing w:after="0" w:line="360" w:lineRule="auto"/>
        <w:jc w:val="both"/>
        <w:textDirection w:val="btLr"/>
        <w:textAlignment w:val="top"/>
        <w:outlineLvl w:val="0"/>
        <w:rPr>
          <w:rFonts w:ascii="Arial" w:eastAsia="Arial" w:hAnsi="Arial" w:cs="Arial"/>
          <w:b/>
          <w:position w:val="-1"/>
          <w:sz w:val="24"/>
          <w:szCs w:val="24"/>
        </w:rPr>
      </w:pPr>
    </w:p>
    <w:p w14:paraId="5B8CEA73" w14:textId="77777777" w:rsidR="000F3246" w:rsidRDefault="006A4C1C" w:rsidP="006A4C1C">
      <w:pPr>
        <w:spacing w:line="360" w:lineRule="auto"/>
        <w:jc w:val="both"/>
      </w:pPr>
      <w:r w:rsidRPr="000F3246">
        <w:rPr>
          <w:rFonts w:ascii="Arial" w:hAnsi="Arial" w:cs="Arial"/>
          <w:b/>
          <w:color w:val="002060"/>
          <w:sz w:val="24"/>
          <w:szCs w:val="24"/>
        </w:rPr>
        <w:t>a_535</w:t>
      </w:r>
      <w:r w:rsidR="000F3246" w:rsidRPr="000F3246">
        <w:t xml:space="preserve"> </w:t>
      </w:r>
    </w:p>
    <w:p w14:paraId="1E181C5E" w14:textId="77777777" w:rsidR="00737E83" w:rsidRPr="00737E83" w:rsidRDefault="00737E83" w:rsidP="00737E83">
      <w:pPr>
        <w:spacing w:after="0" w:line="360" w:lineRule="auto"/>
        <w:jc w:val="both"/>
        <w:rPr>
          <w:rFonts w:ascii="Arial" w:hAnsi="Arial" w:cs="Arial"/>
          <w:b/>
          <w:sz w:val="24"/>
          <w:szCs w:val="24"/>
          <w:lang w:val="en-GB"/>
        </w:rPr>
      </w:pPr>
      <w:r w:rsidRPr="00737E83">
        <w:rPr>
          <w:rFonts w:ascii="Arial" w:hAnsi="Arial" w:cs="Arial"/>
          <w:b/>
          <w:color w:val="002060"/>
          <w:sz w:val="24"/>
          <w:szCs w:val="24"/>
        </w:rPr>
        <w:t xml:space="preserve">Familial Leg Ulcer Syndrome of Early Onset </w:t>
      </w:r>
    </w:p>
    <w:p w14:paraId="5A7D5CF0" w14:textId="1E0515D9" w:rsidR="006A4C1C" w:rsidRPr="00737E83" w:rsidRDefault="006A4C1C" w:rsidP="00737E83">
      <w:pPr>
        <w:spacing w:after="0" w:line="360" w:lineRule="auto"/>
        <w:jc w:val="both"/>
        <w:rPr>
          <w:rFonts w:ascii="Arial" w:hAnsi="Arial" w:cs="Arial"/>
          <w:b/>
          <w:sz w:val="24"/>
          <w:szCs w:val="24"/>
          <w:lang w:val="es-ES"/>
        </w:rPr>
      </w:pPr>
      <w:r w:rsidRPr="00737E83">
        <w:rPr>
          <w:rFonts w:ascii="Arial" w:hAnsi="Arial" w:cs="Arial"/>
          <w:b/>
          <w:sz w:val="24"/>
          <w:szCs w:val="24"/>
          <w:lang w:val="es-ES"/>
        </w:rPr>
        <w:t>Síndrome de úlceras en piernas de carácter familiar y comienzo precoz</w:t>
      </w:r>
    </w:p>
    <w:p w14:paraId="7C068D1C" w14:textId="77777777" w:rsidR="000F3246" w:rsidRPr="000F3246" w:rsidRDefault="000F3246" w:rsidP="000F3246">
      <w:pPr>
        <w:pStyle w:val="Ttulo2"/>
        <w:suppressAutoHyphens/>
        <w:contextualSpacing w:val="0"/>
        <w:textDirection w:val="btLr"/>
        <w:textAlignment w:val="top"/>
        <w:rPr>
          <w:rFonts w:eastAsia="Arial"/>
          <w:position w:val="-1"/>
        </w:rPr>
      </w:pPr>
      <w:r w:rsidRPr="000F3246">
        <w:rPr>
          <w:rFonts w:eastAsia="Arial"/>
          <w:position w:val="-1"/>
        </w:rPr>
        <w:lastRenderedPageBreak/>
        <w:t>ABSTRACT</w:t>
      </w:r>
    </w:p>
    <w:p w14:paraId="393BDC5D" w14:textId="77777777" w:rsidR="000F3246" w:rsidRPr="000F3246" w:rsidRDefault="000F3246" w:rsidP="000F3246">
      <w:pPr>
        <w:suppressAutoHyphens/>
        <w:spacing w:after="0" w:line="360" w:lineRule="auto"/>
        <w:jc w:val="both"/>
        <w:textDirection w:val="btLr"/>
        <w:textAlignment w:val="top"/>
        <w:outlineLvl w:val="0"/>
        <w:rPr>
          <w:rFonts w:ascii="Arial" w:eastAsia="Arial" w:hAnsi="Arial" w:cs="Arial"/>
          <w:color w:val="002060"/>
          <w:position w:val="-1"/>
          <w:sz w:val="24"/>
          <w:szCs w:val="24"/>
        </w:rPr>
      </w:pPr>
      <w:r w:rsidRPr="000F3246">
        <w:rPr>
          <w:rFonts w:ascii="Arial" w:eastAsia="Arial" w:hAnsi="Arial" w:cs="Arial"/>
          <w:b/>
          <w:color w:val="002060"/>
          <w:position w:val="-1"/>
          <w:sz w:val="24"/>
          <w:szCs w:val="24"/>
        </w:rPr>
        <w:t xml:space="preserve">Introduction: </w:t>
      </w:r>
      <w:r w:rsidRPr="000F3246">
        <w:rPr>
          <w:rFonts w:ascii="Arial" w:eastAsia="Arial" w:hAnsi="Arial" w:cs="Arial"/>
          <w:color w:val="002060"/>
          <w:position w:val="-1"/>
          <w:sz w:val="24"/>
          <w:szCs w:val="24"/>
        </w:rPr>
        <w:t>Leg ulcers are unhealed sores or open lesions of multifactorial etiology. They constitute an important pathology in the daily practice of health professionals at all levels of care.</w:t>
      </w:r>
    </w:p>
    <w:p w14:paraId="48C85EEB" w14:textId="77777777" w:rsidR="00F54672" w:rsidRDefault="000F3246" w:rsidP="000F3246">
      <w:pPr>
        <w:suppressAutoHyphens/>
        <w:spacing w:after="0" w:line="360" w:lineRule="auto"/>
        <w:jc w:val="both"/>
        <w:textDirection w:val="btLr"/>
        <w:textAlignment w:val="top"/>
        <w:outlineLvl w:val="0"/>
      </w:pPr>
      <w:r w:rsidRPr="000F3246">
        <w:rPr>
          <w:rFonts w:ascii="Arial" w:eastAsia="Arial" w:hAnsi="Arial" w:cs="Arial"/>
          <w:b/>
          <w:color w:val="002060"/>
          <w:position w:val="-1"/>
          <w:sz w:val="24"/>
          <w:szCs w:val="24"/>
        </w:rPr>
        <w:t xml:space="preserve">Objective: </w:t>
      </w:r>
      <w:r w:rsidRPr="000F3246">
        <w:rPr>
          <w:rFonts w:ascii="Arial" w:eastAsia="Arial" w:hAnsi="Arial" w:cs="Arial"/>
          <w:color w:val="002060"/>
          <w:position w:val="-1"/>
          <w:sz w:val="24"/>
          <w:szCs w:val="24"/>
        </w:rPr>
        <w:t xml:space="preserve">To </w:t>
      </w:r>
      <w:r w:rsidRPr="000F3246">
        <w:rPr>
          <w:rFonts w:ascii="Arial" w:eastAsia="Arial" w:hAnsi="Arial" w:cs="Arial"/>
          <w:color w:val="002060"/>
          <w:position w:val="-1"/>
          <w:sz w:val="24"/>
          <w:szCs w:val="24"/>
        </w:rPr>
        <w:t>report</w:t>
      </w:r>
      <w:r w:rsidRPr="000F3246">
        <w:rPr>
          <w:rFonts w:ascii="Arial" w:eastAsia="Arial" w:hAnsi="Arial" w:cs="Arial"/>
          <w:color w:val="002060"/>
          <w:position w:val="-1"/>
          <w:sz w:val="24"/>
          <w:szCs w:val="24"/>
        </w:rPr>
        <w:t xml:space="preserve"> an infrequent case with a familial hereditary genetic condition that caused ulcerative lesions in the lower </w:t>
      </w:r>
      <w:r w:rsidR="00F54672">
        <w:rPr>
          <w:rFonts w:ascii="Arial" w:eastAsia="Arial" w:hAnsi="Arial" w:cs="Arial"/>
          <w:color w:val="002060"/>
          <w:position w:val="-1"/>
          <w:sz w:val="24"/>
          <w:szCs w:val="24"/>
        </w:rPr>
        <w:t>limbs</w:t>
      </w:r>
      <w:r w:rsidRPr="000F3246">
        <w:rPr>
          <w:rFonts w:ascii="Arial" w:eastAsia="Arial" w:hAnsi="Arial" w:cs="Arial"/>
          <w:color w:val="002060"/>
          <w:position w:val="-1"/>
          <w:sz w:val="24"/>
          <w:szCs w:val="24"/>
        </w:rPr>
        <w:t>.</w:t>
      </w:r>
    </w:p>
    <w:p w14:paraId="63EC26A2" w14:textId="1EED61F4" w:rsidR="00F54672" w:rsidRDefault="00F54672" w:rsidP="00F54672">
      <w:pPr>
        <w:suppressAutoHyphens/>
        <w:spacing w:after="0" w:line="360" w:lineRule="auto"/>
        <w:jc w:val="both"/>
        <w:textDirection w:val="btLr"/>
        <w:textAlignment w:val="top"/>
        <w:outlineLvl w:val="0"/>
      </w:pPr>
      <w:r w:rsidRPr="00F54672">
        <w:rPr>
          <w:rFonts w:ascii="Arial" w:eastAsia="Arial" w:hAnsi="Arial" w:cs="Arial"/>
          <w:b/>
          <w:color w:val="002060"/>
          <w:position w:val="-1"/>
          <w:sz w:val="24"/>
          <w:szCs w:val="24"/>
        </w:rPr>
        <w:t>Case report</w:t>
      </w:r>
      <w:r w:rsidRPr="00F54672">
        <w:rPr>
          <w:rFonts w:ascii="Arial" w:eastAsia="Arial" w:hAnsi="Arial" w:cs="Arial"/>
          <w:color w:val="002060"/>
          <w:position w:val="-1"/>
          <w:sz w:val="24"/>
          <w:szCs w:val="24"/>
        </w:rPr>
        <w:t xml:space="preserve">: </w:t>
      </w:r>
      <w:r>
        <w:rPr>
          <w:rFonts w:ascii="Arial" w:eastAsia="Arial" w:hAnsi="Arial" w:cs="Arial"/>
          <w:color w:val="002060"/>
          <w:position w:val="-1"/>
          <w:sz w:val="24"/>
          <w:szCs w:val="24"/>
        </w:rPr>
        <w:t xml:space="preserve">We report the case of a </w:t>
      </w:r>
      <w:r w:rsidRPr="00F54672">
        <w:rPr>
          <w:rFonts w:ascii="Arial" w:eastAsia="Arial" w:hAnsi="Arial" w:cs="Arial"/>
          <w:color w:val="002060"/>
          <w:position w:val="-1"/>
          <w:sz w:val="24"/>
          <w:szCs w:val="24"/>
        </w:rPr>
        <w:t xml:space="preserve">30-year-old male patient with ulcerative lesions on both lower limbs, 18 years of evolution, very painful with signs of severe local infection. He </w:t>
      </w:r>
      <w:r>
        <w:rPr>
          <w:rFonts w:ascii="Arial" w:eastAsia="Arial" w:hAnsi="Arial" w:cs="Arial"/>
          <w:color w:val="002060"/>
          <w:position w:val="-1"/>
          <w:sz w:val="24"/>
          <w:szCs w:val="24"/>
        </w:rPr>
        <w:t>had</w:t>
      </w:r>
      <w:r w:rsidRPr="00F54672">
        <w:rPr>
          <w:rFonts w:ascii="Arial" w:eastAsia="Arial" w:hAnsi="Arial" w:cs="Arial"/>
          <w:color w:val="002060"/>
          <w:position w:val="-1"/>
          <w:sz w:val="24"/>
          <w:szCs w:val="24"/>
        </w:rPr>
        <w:t xml:space="preserve"> diagnosis of nonspecific ulcers in both lower limbs. He was admitted with </w:t>
      </w:r>
      <w:r w:rsidR="00C22036">
        <w:rPr>
          <w:rFonts w:ascii="Arial" w:eastAsia="Arial" w:hAnsi="Arial" w:cs="Arial"/>
          <w:color w:val="002060"/>
          <w:position w:val="-1"/>
          <w:sz w:val="24"/>
          <w:szCs w:val="24"/>
        </w:rPr>
        <w:t xml:space="preserve">poor </w:t>
      </w:r>
      <w:r w:rsidRPr="00F54672">
        <w:rPr>
          <w:rFonts w:ascii="Arial" w:eastAsia="Arial" w:hAnsi="Arial" w:cs="Arial"/>
          <w:color w:val="002060"/>
          <w:position w:val="-1"/>
          <w:sz w:val="24"/>
          <w:szCs w:val="24"/>
        </w:rPr>
        <w:t xml:space="preserve">general condition, great limitation of ambulation, intense pain in both legs, abundant dirty </w:t>
      </w:r>
      <w:r w:rsidR="000D0DF9" w:rsidRPr="00F54672">
        <w:rPr>
          <w:rFonts w:ascii="Arial" w:eastAsia="Arial" w:hAnsi="Arial" w:cs="Arial"/>
          <w:color w:val="002060"/>
          <w:position w:val="-1"/>
          <w:sz w:val="24"/>
          <w:szCs w:val="24"/>
        </w:rPr>
        <w:t xml:space="preserve">yellowish </w:t>
      </w:r>
      <w:r w:rsidRPr="00F54672">
        <w:rPr>
          <w:rFonts w:ascii="Arial" w:eastAsia="Arial" w:hAnsi="Arial" w:cs="Arial"/>
          <w:color w:val="002060"/>
          <w:position w:val="-1"/>
          <w:sz w:val="24"/>
          <w:szCs w:val="24"/>
        </w:rPr>
        <w:t>ulcerative lesions scattered on both legs,</w:t>
      </w:r>
      <w:r w:rsidR="00737E83">
        <w:rPr>
          <w:rFonts w:ascii="Arial" w:eastAsia="Arial" w:hAnsi="Arial" w:cs="Arial"/>
          <w:color w:val="002060"/>
          <w:position w:val="-1"/>
          <w:sz w:val="24"/>
          <w:szCs w:val="24"/>
        </w:rPr>
        <w:t xml:space="preserve"> and</w:t>
      </w:r>
      <w:r w:rsidRPr="00F54672">
        <w:rPr>
          <w:rFonts w:ascii="Arial" w:eastAsia="Arial" w:hAnsi="Arial" w:cs="Arial"/>
          <w:color w:val="002060"/>
          <w:position w:val="-1"/>
          <w:sz w:val="24"/>
          <w:szCs w:val="24"/>
        </w:rPr>
        <w:t xml:space="preserve"> light yellow, very foul-smelling discharge. A clinical, humoral, imaging, microbiological and anatomical-histopathological study was performed.</w:t>
      </w:r>
    </w:p>
    <w:p w14:paraId="25EA79B9" w14:textId="77B4C2AB" w:rsidR="00F54672" w:rsidRDefault="00F54672" w:rsidP="00F54672">
      <w:pPr>
        <w:suppressAutoHyphens/>
        <w:spacing w:after="0" w:line="360" w:lineRule="auto"/>
        <w:jc w:val="both"/>
        <w:textDirection w:val="btLr"/>
        <w:textAlignment w:val="top"/>
        <w:outlineLvl w:val="0"/>
        <w:rPr>
          <w:rFonts w:ascii="Arial" w:eastAsia="Arial" w:hAnsi="Arial" w:cs="Arial"/>
          <w:color w:val="002060"/>
          <w:position w:val="-1"/>
          <w:sz w:val="24"/>
          <w:szCs w:val="24"/>
        </w:rPr>
      </w:pPr>
      <w:r w:rsidRPr="00C22036">
        <w:rPr>
          <w:rFonts w:ascii="Arial" w:eastAsia="Arial" w:hAnsi="Arial" w:cs="Arial"/>
          <w:b/>
          <w:color w:val="002060"/>
          <w:position w:val="-1"/>
          <w:sz w:val="24"/>
          <w:szCs w:val="24"/>
        </w:rPr>
        <w:t>Conclusions</w:t>
      </w:r>
      <w:r w:rsidRPr="00F54672">
        <w:rPr>
          <w:rFonts w:ascii="Arial" w:eastAsia="Arial" w:hAnsi="Arial" w:cs="Arial"/>
          <w:color w:val="002060"/>
          <w:position w:val="-1"/>
          <w:sz w:val="24"/>
          <w:szCs w:val="24"/>
        </w:rPr>
        <w:t xml:space="preserve">: </w:t>
      </w:r>
      <w:r w:rsidR="00737E83">
        <w:rPr>
          <w:rFonts w:ascii="Arial" w:eastAsia="Arial" w:hAnsi="Arial" w:cs="Arial"/>
          <w:color w:val="002060"/>
          <w:position w:val="-1"/>
          <w:sz w:val="24"/>
          <w:szCs w:val="24"/>
        </w:rPr>
        <w:t>The diagnosis was f</w:t>
      </w:r>
      <w:r w:rsidRPr="00F54672">
        <w:rPr>
          <w:rFonts w:ascii="Arial" w:eastAsia="Arial" w:hAnsi="Arial" w:cs="Arial"/>
          <w:color w:val="002060"/>
          <w:position w:val="-1"/>
          <w:sz w:val="24"/>
          <w:szCs w:val="24"/>
        </w:rPr>
        <w:t xml:space="preserve">amilial leg ulcer syndrome </w:t>
      </w:r>
      <w:r w:rsidR="00737E83">
        <w:rPr>
          <w:rFonts w:ascii="Arial" w:eastAsia="Arial" w:hAnsi="Arial" w:cs="Arial"/>
          <w:color w:val="002060"/>
          <w:position w:val="-1"/>
          <w:sz w:val="24"/>
          <w:szCs w:val="24"/>
        </w:rPr>
        <w:t>of</w:t>
      </w:r>
      <w:r w:rsidRPr="00F54672">
        <w:rPr>
          <w:rFonts w:ascii="Arial" w:eastAsia="Arial" w:hAnsi="Arial" w:cs="Arial"/>
          <w:color w:val="002060"/>
          <w:position w:val="-1"/>
          <w:sz w:val="24"/>
          <w:szCs w:val="24"/>
        </w:rPr>
        <w:t xml:space="preserve"> early onset, recessive inheritance linked to the X chromosome, is diagnosed. Larger scale studies are required to </w:t>
      </w:r>
      <w:r w:rsidR="00C22036" w:rsidRPr="00F54672">
        <w:rPr>
          <w:rFonts w:ascii="Arial" w:eastAsia="Arial" w:hAnsi="Arial" w:cs="Arial"/>
          <w:color w:val="002060"/>
          <w:position w:val="-1"/>
          <w:sz w:val="24"/>
          <w:szCs w:val="24"/>
        </w:rPr>
        <w:t>assess</w:t>
      </w:r>
      <w:r w:rsidRPr="00F54672">
        <w:rPr>
          <w:rFonts w:ascii="Arial" w:eastAsia="Arial" w:hAnsi="Arial" w:cs="Arial"/>
          <w:color w:val="002060"/>
          <w:position w:val="-1"/>
          <w:sz w:val="24"/>
          <w:szCs w:val="24"/>
        </w:rPr>
        <w:t xml:space="preserve"> the contributions of genetic factors in the genesis of this disease, which could be the key to better understand its development.</w:t>
      </w:r>
    </w:p>
    <w:p w14:paraId="3D35181D" w14:textId="77777777" w:rsidR="00C22036" w:rsidRPr="00F54672" w:rsidRDefault="00C22036" w:rsidP="00F54672">
      <w:pPr>
        <w:suppressAutoHyphens/>
        <w:spacing w:after="0" w:line="360" w:lineRule="auto"/>
        <w:jc w:val="both"/>
        <w:textDirection w:val="btLr"/>
        <w:textAlignment w:val="top"/>
        <w:outlineLvl w:val="0"/>
        <w:rPr>
          <w:rFonts w:ascii="Arial" w:eastAsia="Arial" w:hAnsi="Arial" w:cs="Arial"/>
          <w:color w:val="002060"/>
          <w:position w:val="-1"/>
          <w:sz w:val="24"/>
          <w:szCs w:val="24"/>
        </w:rPr>
      </w:pPr>
    </w:p>
    <w:p w14:paraId="671E1DF7" w14:textId="2F4C7D42" w:rsidR="000F3246" w:rsidRPr="000F3246" w:rsidRDefault="00F54672" w:rsidP="00F54672">
      <w:pPr>
        <w:suppressAutoHyphens/>
        <w:spacing w:after="0" w:line="360" w:lineRule="auto"/>
        <w:jc w:val="both"/>
        <w:textDirection w:val="btLr"/>
        <w:textAlignment w:val="top"/>
        <w:outlineLvl w:val="0"/>
        <w:rPr>
          <w:rFonts w:ascii="Arial" w:eastAsia="Arial" w:hAnsi="Arial" w:cs="Arial"/>
          <w:color w:val="002060"/>
          <w:position w:val="-1"/>
          <w:sz w:val="24"/>
          <w:szCs w:val="24"/>
        </w:rPr>
      </w:pPr>
      <w:r w:rsidRPr="00C22036">
        <w:rPr>
          <w:rFonts w:ascii="Arial" w:eastAsia="Arial" w:hAnsi="Arial" w:cs="Arial"/>
          <w:b/>
          <w:color w:val="002060"/>
          <w:position w:val="-1"/>
          <w:sz w:val="24"/>
          <w:szCs w:val="24"/>
        </w:rPr>
        <w:t>Keywords</w:t>
      </w:r>
      <w:r w:rsidRPr="00F54672">
        <w:rPr>
          <w:rFonts w:ascii="Arial" w:eastAsia="Arial" w:hAnsi="Arial" w:cs="Arial"/>
          <w:color w:val="002060"/>
          <w:position w:val="-1"/>
          <w:sz w:val="24"/>
          <w:szCs w:val="24"/>
        </w:rPr>
        <w:t>: lower limb ulcers; hereditary juvenile lower limb ulcers; familial hereditary genetic condition.</w:t>
      </w:r>
    </w:p>
    <w:p w14:paraId="097083DF" w14:textId="77777777" w:rsidR="000F3246" w:rsidRDefault="000F3246" w:rsidP="006A4C1C">
      <w:pPr>
        <w:suppressAutoHyphens/>
        <w:spacing w:after="0" w:line="360" w:lineRule="auto"/>
        <w:jc w:val="both"/>
        <w:textDirection w:val="btLr"/>
        <w:textAlignment w:val="top"/>
        <w:outlineLvl w:val="0"/>
        <w:rPr>
          <w:rFonts w:ascii="Arial" w:eastAsia="Arial" w:hAnsi="Arial" w:cs="Arial"/>
          <w:b/>
          <w:color w:val="002060"/>
          <w:position w:val="-1"/>
          <w:sz w:val="24"/>
          <w:szCs w:val="24"/>
        </w:rPr>
      </w:pPr>
    </w:p>
    <w:p w14:paraId="5677AA54" w14:textId="05CC779F" w:rsidR="006A4C1C" w:rsidRPr="00C505D7" w:rsidRDefault="006A4C1C" w:rsidP="006A4C1C">
      <w:pPr>
        <w:suppressAutoHyphens/>
        <w:spacing w:after="0" w:line="360" w:lineRule="auto"/>
        <w:jc w:val="both"/>
        <w:textDirection w:val="btLr"/>
        <w:textAlignment w:val="top"/>
        <w:outlineLvl w:val="0"/>
        <w:rPr>
          <w:rFonts w:ascii="Arial" w:eastAsia="Arial" w:hAnsi="Arial" w:cs="Arial"/>
          <w:b/>
          <w:color w:val="002060"/>
          <w:position w:val="-1"/>
          <w:sz w:val="24"/>
          <w:szCs w:val="24"/>
          <w:lang w:val="es-ES"/>
        </w:rPr>
      </w:pPr>
      <w:r w:rsidRPr="00C505D7">
        <w:rPr>
          <w:rFonts w:ascii="Arial" w:eastAsia="Arial" w:hAnsi="Arial" w:cs="Arial"/>
          <w:b/>
          <w:color w:val="002060"/>
          <w:position w:val="-1"/>
          <w:sz w:val="24"/>
          <w:szCs w:val="24"/>
          <w:lang w:val="es-ES"/>
        </w:rPr>
        <w:t>a_524</w:t>
      </w:r>
      <w:r w:rsidR="00C505D7" w:rsidRPr="00C505D7">
        <w:rPr>
          <w:b/>
          <w:color w:val="002060"/>
          <w:sz w:val="24"/>
          <w:szCs w:val="24"/>
          <w:lang w:val="es-ES"/>
        </w:rPr>
        <w:t xml:space="preserve"> </w:t>
      </w:r>
      <w:r w:rsidR="00C505D7" w:rsidRPr="00C22036">
        <w:rPr>
          <w:rFonts w:ascii="Arial" w:hAnsi="Arial" w:cs="Arial"/>
          <w:color w:val="002060"/>
          <w:sz w:val="24"/>
          <w:szCs w:val="24"/>
          <w:highlight w:val="yellow"/>
          <w:lang w:val="es-ES"/>
        </w:rPr>
        <w:t xml:space="preserve">Resumen </w:t>
      </w:r>
      <w:r w:rsidR="00C505D7" w:rsidRPr="00C22036">
        <w:rPr>
          <w:rFonts w:ascii="Arial" w:hAnsi="Arial" w:cs="Arial"/>
          <w:color w:val="002060"/>
          <w:sz w:val="24"/>
          <w:szCs w:val="24"/>
          <w:highlight w:val="yellow"/>
          <w:lang w:val="es-ES"/>
        </w:rPr>
        <w:t>que se incluyó después</w:t>
      </w:r>
      <w:r w:rsidR="00C505D7" w:rsidRPr="00C22036">
        <w:rPr>
          <w:rFonts w:ascii="Arial" w:hAnsi="Arial" w:cs="Arial"/>
          <w:b/>
          <w:color w:val="002060"/>
          <w:sz w:val="24"/>
          <w:szCs w:val="24"/>
          <w:lang w:val="es-ES"/>
        </w:rPr>
        <w:t>.</w:t>
      </w:r>
    </w:p>
    <w:p w14:paraId="46D3425A" w14:textId="560F9477" w:rsidR="00C22036" w:rsidRPr="00C22036" w:rsidRDefault="00C22036" w:rsidP="00C22036">
      <w:pPr>
        <w:pStyle w:val="Ttulo2"/>
        <w:suppressAutoHyphens/>
        <w:contextualSpacing w:val="0"/>
        <w:textDirection w:val="btLr"/>
        <w:textAlignment w:val="top"/>
        <w:rPr>
          <w:rFonts w:eastAsia="Arial"/>
          <w:position w:val="-1"/>
        </w:rPr>
      </w:pPr>
      <w:r w:rsidRPr="00C22036">
        <w:rPr>
          <w:rFonts w:eastAsia="Arial"/>
          <w:position w:val="-1"/>
        </w:rPr>
        <w:t xml:space="preserve">The Rise and Fall of </w:t>
      </w:r>
      <w:r w:rsidR="00737E83" w:rsidRPr="00C22036">
        <w:rPr>
          <w:rFonts w:eastAsia="Arial"/>
          <w:position w:val="-1"/>
        </w:rPr>
        <w:t>the</w:t>
      </w:r>
      <w:r w:rsidRPr="00C22036">
        <w:rPr>
          <w:rFonts w:eastAsia="Arial"/>
          <w:position w:val="-1"/>
        </w:rPr>
        <w:t xml:space="preserve"> </w:t>
      </w:r>
      <w:r w:rsidRPr="00C22036">
        <w:rPr>
          <w:rFonts w:eastAsia="Arial"/>
          <w:position w:val="-1"/>
        </w:rPr>
        <w:t xml:space="preserve">Epinephrine </w:t>
      </w:r>
      <w:r w:rsidRPr="00C22036">
        <w:rPr>
          <w:rFonts w:eastAsia="Arial"/>
          <w:position w:val="-1"/>
        </w:rPr>
        <w:t xml:space="preserve">Myth </w:t>
      </w:r>
      <w:r w:rsidR="00737E83" w:rsidRPr="00C22036">
        <w:rPr>
          <w:rFonts w:eastAsia="Arial"/>
          <w:position w:val="-1"/>
        </w:rPr>
        <w:t>in</w:t>
      </w:r>
      <w:r w:rsidRPr="00C22036">
        <w:rPr>
          <w:rFonts w:eastAsia="Arial"/>
          <w:position w:val="-1"/>
        </w:rPr>
        <w:t xml:space="preserve"> </w:t>
      </w:r>
      <w:r w:rsidR="00AE52C7" w:rsidRPr="00C22036">
        <w:rPr>
          <w:rFonts w:eastAsia="Arial"/>
          <w:position w:val="-1"/>
        </w:rPr>
        <w:t>the</w:t>
      </w:r>
      <w:r w:rsidRPr="00C22036">
        <w:rPr>
          <w:rFonts w:eastAsia="Arial"/>
          <w:position w:val="-1"/>
        </w:rPr>
        <w:t xml:space="preserve"> Hand </w:t>
      </w:r>
    </w:p>
    <w:p w14:paraId="47CE3FB1" w14:textId="31A54560" w:rsidR="006A4C1C" w:rsidRPr="00C22036" w:rsidRDefault="006A4C1C" w:rsidP="00C22036">
      <w:pPr>
        <w:pStyle w:val="Ttulo1"/>
        <w:suppressAutoHyphens/>
        <w:spacing w:before="0"/>
        <w:textDirection w:val="btLr"/>
        <w:textAlignment w:val="top"/>
        <w:rPr>
          <w:rFonts w:eastAsia="Arial"/>
          <w:position w:val="-1"/>
        </w:rPr>
      </w:pPr>
      <w:r w:rsidRPr="00C22036">
        <w:rPr>
          <w:rFonts w:eastAsia="Arial"/>
          <w:position w:val="-1"/>
        </w:rPr>
        <w:t>El auge y la caída del mito de la epinefrina en la mano</w:t>
      </w:r>
    </w:p>
    <w:p w14:paraId="4E6E47B6" w14:textId="77777777" w:rsidR="006A4C1C" w:rsidRPr="00C22036" w:rsidRDefault="006A4C1C" w:rsidP="006A4C1C">
      <w:pPr>
        <w:suppressAutoHyphens/>
        <w:spacing w:after="0" w:line="360" w:lineRule="auto"/>
        <w:jc w:val="both"/>
        <w:textDirection w:val="btLr"/>
        <w:textAlignment w:val="top"/>
        <w:outlineLvl w:val="0"/>
        <w:rPr>
          <w:rFonts w:ascii="Arial" w:eastAsia="Arial" w:hAnsi="Arial" w:cs="Arial"/>
          <w:position w:val="-1"/>
          <w:sz w:val="24"/>
          <w:szCs w:val="24"/>
          <w:lang w:val="es-ES"/>
        </w:rPr>
      </w:pPr>
    </w:p>
    <w:p w14:paraId="4F57D602" w14:textId="77777777" w:rsidR="00737E83" w:rsidRPr="00AE52C7" w:rsidRDefault="00737E83" w:rsidP="00AE52C7">
      <w:pPr>
        <w:pStyle w:val="Ttulo2"/>
        <w:suppressAutoHyphens/>
        <w:contextualSpacing w:val="0"/>
        <w:textDirection w:val="btLr"/>
        <w:textAlignment w:val="top"/>
        <w:rPr>
          <w:rFonts w:eastAsia="Arial"/>
          <w:position w:val="-1"/>
        </w:rPr>
      </w:pPr>
      <w:r w:rsidRPr="00AE52C7">
        <w:rPr>
          <w:rFonts w:eastAsia="Arial"/>
          <w:position w:val="-1"/>
        </w:rPr>
        <w:t>ABSTRACT</w:t>
      </w:r>
    </w:p>
    <w:p w14:paraId="33B8A6DF" w14:textId="40D71014" w:rsidR="00737E83" w:rsidRDefault="00737E83" w:rsidP="00737E83">
      <w:pPr>
        <w:pStyle w:val="Textoindependiente3"/>
        <w:rPr>
          <w:lang w:val="en-US"/>
        </w:rPr>
      </w:pPr>
      <w:r w:rsidRPr="00737E83">
        <w:rPr>
          <w:lang w:val="en-US"/>
        </w:rPr>
        <w:t>The possibility of operating patients with hand conditions under local anesthesia</w:t>
      </w:r>
      <w:r w:rsidR="00AE52C7">
        <w:rPr>
          <w:lang w:val="en-US"/>
        </w:rPr>
        <w:t>,</w:t>
      </w:r>
      <w:r w:rsidRPr="00737E83">
        <w:rPr>
          <w:lang w:val="en-US"/>
        </w:rPr>
        <w:t xml:space="preserve"> with lidocaine and epinephrine</w:t>
      </w:r>
      <w:r w:rsidR="00AE52C7">
        <w:rPr>
          <w:lang w:val="en-US"/>
        </w:rPr>
        <w:t>,</w:t>
      </w:r>
      <w:r w:rsidRPr="00737E83">
        <w:rPr>
          <w:lang w:val="en-US"/>
        </w:rPr>
        <w:t xml:space="preserve"> using WALANT technique caused a revolution in hand surgery, which made life easier for patients and lowered the costs of hospital </w:t>
      </w:r>
      <w:r w:rsidR="00AE52C7" w:rsidRPr="00737E83">
        <w:rPr>
          <w:lang w:val="en-US"/>
        </w:rPr>
        <w:t xml:space="preserve">services. </w:t>
      </w:r>
      <w:r w:rsidR="00AE52C7" w:rsidRPr="00AE52C7">
        <w:rPr>
          <w:lang w:val="en-US"/>
        </w:rPr>
        <w:t xml:space="preserve">Surgeons need to be aware of the possibilities and history of WALANT technique. The objective was to identify the origins of the rise and fall of the myth and dogma of the prohibition of adrenaline in anesthetic finger blocks. A critical analysis of the main texts of the articles and books on the use of </w:t>
      </w:r>
      <w:r w:rsidR="00AE52C7" w:rsidRPr="00AE52C7">
        <w:rPr>
          <w:lang w:val="en-US"/>
        </w:rPr>
        <w:lastRenderedPageBreak/>
        <w:t>epinephrine in finger anesthesia was carried out.</w:t>
      </w:r>
      <w:r w:rsidR="00AE52C7" w:rsidRPr="00AE52C7">
        <w:t xml:space="preserve"> </w:t>
      </w:r>
      <w:r w:rsidR="00AE52C7" w:rsidRPr="00AE52C7">
        <w:rPr>
          <w:lang w:val="en-US"/>
        </w:rPr>
        <w:t xml:space="preserve">The </w:t>
      </w:r>
      <w:r w:rsidR="00EB02A4" w:rsidRPr="00AE52C7">
        <w:rPr>
          <w:lang w:val="en-US"/>
        </w:rPr>
        <w:t>conception</w:t>
      </w:r>
      <w:r w:rsidR="00AE52C7" w:rsidRPr="00AE52C7">
        <w:rPr>
          <w:lang w:val="en-US"/>
        </w:rPr>
        <w:t xml:space="preserve"> of the myth of banning the use of epinephrine in anesthetic finger blocks occurred due to misinterpretation of reports of necrosis occurring</w:t>
      </w:r>
      <w:r w:rsidR="00EB02A4">
        <w:rPr>
          <w:lang w:val="en-US"/>
        </w:rPr>
        <w:t xml:space="preserve">, which were </w:t>
      </w:r>
      <w:r w:rsidR="00AE52C7" w:rsidRPr="00AE52C7">
        <w:rPr>
          <w:lang w:val="en-US"/>
        </w:rPr>
        <w:t>not actually caused by epinephrine. That myth influenced the appearance of a dogma. The history of the use of epinephrine in anesthetic finger blocks demonstrates that superficial and misleading interpretations of clinical complications published as case reports can breed myth and dogma. Only science can prevent and destroy such medical myths and dogmas.</w:t>
      </w:r>
    </w:p>
    <w:p w14:paraId="18FB19BA" w14:textId="77777777" w:rsidR="00EB02A4" w:rsidRDefault="00EB02A4" w:rsidP="00737E83">
      <w:pPr>
        <w:pStyle w:val="Textoindependiente3"/>
        <w:rPr>
          <w:lang w:val="en-US"/>
        </w:rPr>
      </w:pPr>
    </w:p>
    <w:p w14:paraId="243E5269" w14:textId="2D29003E" w:rsidR="00EB02A4" w:rsidRDefault="00EB02A4" w:rsidP="00737E83">
      <w:pPr>
        <w:pStyle w:val="Textoindependiente3"/>
        <w:rPr>
          <w:lang w:val="en-US"/>
        </w:rPr>
      </w:pPr>
      <w:r w:rsidRPr="00EB02A4">
        <w:rPr>
          <w:b/>
          <w:lang w:val="en-US"/>
        </w:rPr>
        <w:t>Keywords</w:t>
      </w:r>
      <w:r w:rsidRPr="00EB02A4">
        <w:rPr>
          <w:lang w:val="en-US"/>
        </w:rPr>
        <w:t>: walant; epinephrine; Local anesthesia.</w:t>
      </w:r>
    </w:p>
    <w:p w14:paraId="376BDABD" w14:textId="77777777" w:rsidR="00FF5E31" w:rsidRDefault="00FF5E31" w:rsidP="00FF5E31">
      <w:pPr>
        <w:spacing w:after="0" w:line="360" w:lineRule="auto"/>
        <w:jc w:val="both"/>
        <w:rPr>
          <w:rFonts w:ascii="Arial" w:eastAsia="Calibri" w:hAnsi="Arial" w:cs="Arial"/>
          <w:color w:val="002060"/>
          <w:sz w:val="20"/>
          <w:szCs w:val="20"/>
          <w:lang w:val="es-ES_tradnl"/>
        </w:rPr>
      </w:pPr>
    </w:p>
    <w:p w14:paraId="7B0168ED" w14:textId="77777777" w:rsidR="00FF5E31" w:rsidRPr="00223361" w:rsidRDefault="00FF5E31" w:rsidP="00FF5E31">
      <w:pPr>
        <w:spacing w:after="0" w:line="360" w:lineRule="auto"/>
        <w:jc w:val="both"/>
        <w:rPr>
          <w:rFonts w:ascii="Arial" w:eastAsia="Calibri" w:hAnsi="Arial" w:cs="Arial"/>
          <w:color w:val="002060"/>
          <w:sz w:val="20"/>
          <w:szCs w:val="20"/>
          <w:lang w:val="es-ES_tradnl"/>
        </w:rPr>
      </w:pPr>
      <w:r w:rsidRPr="00223361">
        <w:rPr>
          <w:rFonts w:ascii="Arial" w:eastAsia="Calibri" w:hAnsi="Arial" w:cs="Arial"/>
          <w:color w:val="002060"/>
          <w:sz w:val="20"/>
          <w:szCs w:val="20"/>
          <w:lang w:val="es-ES_tradnl"/>
        </w:rPr>
        <w:t xml:space="preserve">***/ Traducción: </w:t>
      </w:r>
      <w:hyperlink r:id="rId4" w:history="1">
        <w:r w:rsidRPr="00442877">
          <w:rPr>
            <w:rStyle w:val="Hipervnculo"/>
            <w:rFonts w:ascii="Arial" w:eastAsia="Calibri" w:hAnsi="Arial" w:cs="Arial"/>
            <w:sz w:val="20"/>
            <w:szCs w:val="20"/>
            <w:lang w:val="es-ES_tradnl"/>
          </w:rPr>
          <w:t>Gretchen González Nieto</w:t>
        </w:r>
      </w:hyperlink>
    </w:p>
    <w:p w14:paraId="0023433D" w14:textId="77777777" w:rsidR="00FF5E31" w:rsidRPr="00223361" w:rsidRDefault="00FF5E31" w:rsidP="00FF5E31">
      <w:pPr>
        <w:spacing w:after="0" w:line="360" w:lineRule="auto"/>
        <w:jc w:val="both"/>
        <w:rPr>
          <w:rFonts w:ascii="Arial" w:eastAsia="Calibri" w:hAnsi="Arial" w:cs="Arial"/>
          <w:color w:val="002060"/>
          <w:sz w:val="20"/>
          <w:szCs w:val="20"/>
          <w:lang w:val="es-ES_tradnl"/>
        </w:rPr>
      </w:pPr>
      <w:r w:rsidRPr="00223361">
        <w:rPr>
          <w:rFonts w:ascii="Arial" w:eastAsia="Calibri" w:hAnsi="Arial" w:cs="Arial"/>
          <w:color w:val="002060"/>
          <w:sz w:val="20"/>
          <w:szCs w:val="20"/>
          <w:lang w:val="es-ES_tradnl"/>
        </w:rPr>
        <w:t>Servicio de traducción</w:t>
      </w:r>
    </w:p>
    <w:p w14:paraId="63D72771" w14:textId="77777777" w:rsidR="00FF5E31" w:rsidRPr="00223361" w:rsidRDefault="00FF5E31" w:rsidP="00FF5E31">
      <w:pPr>
        <w:spacing w:after="0" w:line="360" w:lineRule="auto"/>
        <w:jc w:val="both"/>
        <w:rPr>
          <w:rFonts w:ascii="Arial" w:eastAsia="Calibri" w:hAnsi="Arial" w:cs="Arial"/>
          <w:color w:val="002060"/>
          <w:sz w:val="20"/>
          <w:szCs w:val="20"/>
          <w:lang w:val="es-ES_tradnl"/>
        </w:rPr>
      </w:pPr>
      <w:r w:rsidRPr="00223361">
        <w:rPr>
          <w:rFonts w:ascii="Arial" w:eastAsia="Calibri" w:hAnsi="Arial" w:cs="Arial"/>
          <w:color w:val="002060"/>
          <w:sz w:val="20"/>
          <w:szCs w:val="20"/>
          <w:lang w:val="es-ES_tradnl"/>
        </w:rPr>
        <w:t>CNICM-Infomed</w:t>
      </w:r>
    </w:p>
    <w:p w14:paraId="5011014E" w14:textId="3A7EE5D2" w:rsidR="00FF5E31" w:rsidRPr="00223361" w:rsidRDefault="00FF5E31" w:rsidP="00FF5E31">
      <w:pPr>
        <w:spacing w:after="0" w:line="360" w:lineRule="auto"/>
        <w:jc w:val="both"/>
        <w:rPr>
          <w:rFonts w:ascii="Arial" w:eastAsia="Calibri" w:hAnsi="Arial" w:cs="Arial"/>
          <w:color w:val="002060"/>
          <w:sz w:val="20"/>
          <w:szCs w:val="20"/>
          <w:lang w:val="es-ES_tradnl"/>
        </w:rPr>
      </w:pPr>
      <w:r>
        <w:rPr>
          <w:rFonts w:ascii="Arial" w:eastAsia="Calibri" w:hAnsi="Arial" w:cs="Arial"/>
          <w:color w:val="002060"/>
          <w:sz w:val="20"/>
          <w:szCs w:val="20"/>
          <w:lang w:val="es-ES_tradnl"/>
        </w:rPr>
        <w:t xml:space="preserve">12 </w:t>
      </w:r>
      <w:bookmarkStart w:id="0" w:name="_GoBack"/>
      <w:bookmarkEnd w:id="0"/>
      <w:r w:rsidRPr="00223361">
        <w:rPr>
          <w:rFonts w:ascii="Arial" w:eastAsia="Calibri" w:hAnsi="Arial" w:cs="Arial"/>
          <w:color w:val="002060"/>
          <w:sz w:val="20"/>
          <w:szCs w:val="20"/>
          <w:lang w:val="es-ES_tradnl"/>
        </w:rPr>
        <w:t>de julio de 2022</w:t>
      </w:r>
    </w:p>
    <w:p w14:paraId="05EC5B6B" w14:textId="77777777" w:rsidR="00EB02A4" w:rsidRPr="00FF5E31" w:rsidRDefault="00EB02A4" w:rsidP="00737E83">
      <w:pPr>
        <w:pStyle w:val="Textoindependiente3"/>
        <w:rPr>
          <w:lang w:val="es-ES_tradnl"/>
        </w:rPr>
      </w:pPr>
    </w:p>
    <w:sectPr w:rsidR="00EB02A4" w:rsidRPr="00FF5E31" w:rsidSect="00F61591">
      <w:pgSz w:w="11907" w:h="16839" w:code="9"/>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C1C"/>
    <w:rsid w:val="000304B0"/>
    <w:rsid w:val="000D0DF9"/>
    <w:rsid w:val="000F3246"/>
    <w:rsid w:val="00111733"/>
    <w:rsid w:val="00256D5F"/>
    <w:rsid w:val="00321CCF"/>
    <w:rsid w:val="00384F2F"/>
    <w:rsid w:val="006A4C1C"/>
    <w:rsid w:val="006C213B"/>
    <w:rsid w:val="00737E83"/>
    <w:rsid w:val="00754D56"/>
    <w:rsid w:val="007F7C75"/>
    <w:rsid w:val="009142DE"/>
    <w:rsid w:val="00943070"/>
    <w:rsid w:val="009C0655"/>
    <w:rsid w:val="00AE52C7"/>
    <w:rsid w:val="00B0686D"/>
    <w:rsid w:val="00B72EC3"/>
    <w:rsid w:val="00C22036"/>
    <w:rsid w:val="00C505D7"/>
    <w:rsid w:val="00CB5394"/>
    <w:rsid w:val="00D4276D"/>
    <w:rsid w:val="00EB02A4"/>
    <w:rsid w:val="00F54672"/>
    <w:rsid w:val="00FF5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C7A87"/>
  <w15:chartTrackingRefBased/>
  <w15:docId w15:val="{189A4C8B-D0EC-475A-8D07-5A774C5A1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C1C"/>
  </w:style>
  <w:style w:type="paragraph" w:styleId="Ttulo1">
    <w:name w:val="heading 1"/>
    <w:basedOn w:val="Normal"/>
    <w:next w:val="Normal"/>
    <w:link w:val="Ttulo1Car"/>
    <w:uiPriority w:val="9"/>
    <w:qFormat/>
    <w:rsid w:val="006A4C1C"/>
    <w:pPr>
      <w:keepNext/>
      <w:spacing w:before="240" w:after="0" w:line="360" w:lineRule="auto"/>
      <w:jc w:val="both"/>
      <w:outlineLvl w:val="0"/>
    </w:pPr>
    <w:rPr>
      <w:rFonts w:ascii="Arial" w:eastAsia="Calibri" w:hAnsi="Arial" w:cs="Arial"/>
      <w:b/>
      <w:sz w:val="24"/>
      <w:szCs w:val="24"/>
      <w:lang w:val="es-ES"/>
    </w:rPr>
  </w:style>
  <w:style w:type="paragraph" w:styleId="Ttulo2">
    <w:name w:val="heading 2"/>
    <w:basedOn w:val="Normal"/>
    <w:next w:val="Normal"/>
    <w:link w:val="Ttulo2Car"/>
    <w:uiPriority w:val="9"/>
    <w:unhideWhenUsed/>
    <w:qFormat/>
    <w:rsid w:val="00B0686D"/>
    <w:pPr>
      <w:keepNext/>
      <w:spacing w:after="0" w:line="360" w:lineRule="auto"/>
      <w:contextualSpacing/>
      <w:jc w:val="both"/>
      <w:outlineLvl w:val="1"/>
    </w:pPr>
    <w:rPr>
      <w:rFonts w:ascii="Arial" w:eastAsia="Times New Roman" w:hAnsi="Arial" w:cs="Arial"/>
      <w:b/>
      <w:color w:val="0020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A4C1C"/>
    <w:rPr>
      <w:rFonts w:ascii="Arial" w:eastAsia="Calibri" w:hAnsi="Arial" w:cs="Arial"/>
      <w:b/>
      <w:sz w:val="24"/>
      <w:szCs w:val="24"/>
      <w:lang w:val="es-ES"/>
    </w:rPr>
  </w:style>
  <w:style w:type="paragraph" w:styleId="Puesto">
    <w:name w:val="Title"/>
    <w:basedOn w:val="Normal"/>
    <w:next w:val="Normal"/>
    <w:link w:val="PuestoCar"/>
    <w:uiPriority w:val="10"/>
    <w:qFormat/>
    <w:rsid w:val="006A4C1C"/>
    <w:pPr>
      <w:spacing w:line="360" w:lineRule="auto"/>
      <w:jc w:val="center"/>
    </w:pPr>
    <w:rPr>
      <w:rFonts w:ascii="Arial" w:hAnsi="Arial" w:cs="Arial"/>
      <w:b/>
      <w:sz w:val="24"/>
      <w:szCs w:val="24"/>
      <w:lang w:val="es-ES"/>
    </w:rPr>
  </w:style>
  <w:style w:type="character" w:customStyle="1" w:styleId="PuestoCar">
    <w:name w:val="Puesto Car"/>
    <w:basedOn w:val="Fuentedeprrafopredeter"/>
    <w:link w:val="Puesto"/>
    <w:uiPriority w:val="10"/>
    <w:rsid w:val="006A4C1C"/>
    <w:rPr>
      <w:rFonts w:ascii="Arial" w:hAnsi="Arial" w:cs="Arial"/>
      <w:b/>
      <w:sz w:val="24"/>
      <w:szCs w:val="24"/>
      <w:lang w:val="es-ES"/>
    </w:rPr>
  </w:style>
  <w:style w:type="character" w:styleId="Refdecomentario">
    <w:name w:val="annotation reference"/>
    <w:basedOn w:val="Fuentedeprrafopredeter"/>
    <w:uiPriority w:val="99"/>
    <w:semiHidden/>
    <w:unhideWhenUsed/>
    <w:rsid w:val="006A4C1C"/>
    <w:rPr>
      <w:sz w:val="16"/>
      <w:szCs w:val="16"/>
    </w:rPr>
  </w:style>
  <w:style w:type="paragraph" w:styleId="Textocomentario">
    <w:name w:val="annotation text"/>
    <w:basedOn w:val="Normal"/>
    <w:link w:val="TextocomentarioCar"/>
    <w:uiPriority w:val="99"/>
    <w:semiHidden/>
    <w:unhideWhenUsed/>
    <w:rsid w:val="006A4C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A4C1C"/>
    <w:rPr>
      <w:sz w:val="20"/>
      <w:szCs w:val="20"/>
    </w:rPr>
  </w:style>
  <w:style w:type="paragraph" w:styleId="Textoindependiente">
    <w:name w:val="Body Text"/>
    <w:basedOn w:val="Normal"/>
    <w:link w:val="TextoindependienteCar"/>
    <w:uiPriority w:val="99"/>
    <w:unhideWhenUsed/>
    <w:rsid w:val="006A4C1C"/>
    <w:pPr>
      <w:spacing w:line="360" w:lineRule="auto"/>
      <w:jc w:val="both"/>
    </w:pPr>
    <w:rPr>
      <w:rFonts w:ascii="Arial" w:hAnsi="Arial" w:cs="Arial"/>
      <w:b/>
      <w:sz w:val="24"/>
      <w:szCs w:val="24"/>
    </w:rPr>
  </w:style>
  <w:style w:type="character" w:customStyle="1" w:styleId="TextoindependienteCar">
    <w:name w:val="Texto independiente Car"/>
    <w:basedOn w:val="Fuentedeprrafopredeter"/>
    <w:link w:val="Textoindependiente"/>
    <w:uiPriority w:val="99"/>
    <w:rsid w:val="006A4C1C"/>
    <w:rPr>
      <w:rFonts w:ascii="Arial" w:hAnsi="Arial" w:cs="Arial"/>
      <w:b/>
      <w:sz w:val="24"/>
      <w:szCs w:val="24"/>
    </w:rPr>
  </w:style>
  <w:style w:type="paragraph" w:styleId="Textodeglobo">
    <w:name w:val="Balloon Text"/>
    <w:basedOn w:val="Normal"/>
    <w:link w:val="TextodegloboCar"/>
    <w:uiPriority w:val="99"/>
    <w:semiHidden/>
    <w:unhideWhenUsed/>
    <w:rsid w:val="006A4C1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4C1C"/>
    <w:rPr>
      <w:rFonts w:ascii="Segoe UI" w:hAnsi="Segoe UI" w:cs="Segoe UI"/>
      <w:sz w:val="18"/>
      <w:szCs w:val="18"/>
    </w:rPr>
  </w:style>
  <w:style w:type="character" w:customStyle="1" w:styleId="Ttulo2Car">
    <w:name w:val="Título 2 Car"/>
    <w:basedOn w:val="Fuentedeprrafopredeter"/>
    <w:link w:val="Ttulo2"/>
    <w:uiPriority w:val="9"/>
    <w:rsid w:val="00B0686D"/>
    <w:rPr>
      <w:rFonts w:ascii="Arial" w:eastAsia="Times New Roman" w:hAnsi="Arial" w:cs="Arial"/>
      <w:b/>
      <w:color w:val="002060"/>
      <w:sz w:val="24"/>
      <w:szCs w:val="24"/>
    </w:rPr>
  </w:style>
  <w:style w:type="paragraph" w:styleId="Textoindependiente2">
    <w:name w:val="Body Text 2"/>
    <w:basedOn w:val="Normal"/>
    <w:link w:val="Textoindependiente2Car"/>
    <w:uiPriority w:val="99"/>
    <w:unhideWhenUsed/>
    <w:rsid w:val="00B0686D"/>
    <w:pPr>
      <w:spacing w:after="0" w:line="360" w:lineRule="auto"/>
      <w:contextualSpacing/>
      <w:jc w:val="both"/>
      <w:outlineLvl w:val="0"/>
    </w:pPr>
    <w:rPr>
      <w:rFonts w:ascii="Arial" w:eastAsia="Times New Roman" w:hAnsi="Arial" w:cs="Arial"/>
      <w:b/>
      <w:color w:val="002060"/>
      <w:sz w:val="24"/>
      <w:szCs w:val="24"/>
      <w:lang w:val="es-ES"/>
    </w:rPr>
  </w:style>
  <w:style w:type="character" w:customStyle="1" w:styleId="Textoindependiente2Car">
    <w:name w:val="Texto independiente 2 Car"/>
    <w:basedOn w:val="Fuentedeprrafopredeter"/>
    <w:link w:val="Textoindependiente2"/>
    <w:uiPriority w:val="99"/>
    <w:rsid w:val="00B0686D"/>
    <w:rPr>
      <w:rFonts w:ascii="Arial" w:eastAsia="Times New Roman" w:hAnsi="Arial" w:cs="Arial"/>
      <w:b/>
      <w:color w:val="002060"/>
      <w:sz w:val="24"/>
      <w:szCs w:val="24"/>
      <w:lang w:val="es-ES"/>
    </w:rPr>
  </w:style>
  <w:style w:type="paragraph" w:styleId="Textoindependiente3">
    <w:name w:val="Body Text 3"/>
    <w:basedOn w:val="Normal"/>
    <w:link w:val="Textoindependiente3Car"/>
    <w:uiPriority w:val="99"/>
    <w:unhideWhenUsed/>
    <w:rsid w:val="000304B0"/>
    <w:pPr>
      <w:suppressAutoHyphens/>
      <w:spacing w:after="0" w:line="360" w:lineRule="auto"/>
      <w:jc w:val="both"/>
      <w:textDirection w:val="btLr"/>
      <w:textAlignment w:val="top"/>
      <w:outlineLvl w:val="0"/>
    </w:pPr>
    <w:rPr>
      <w:rFonts w:ascii="Arial" w:eastAsia="Arial" w:hAnsi="Arial" w:cs="Arial"/>
      <w:color w:val="002060"/>
      <w:position w:val="-1"/>
      <w:sz w:val="24"/>
      <w:szCs w:val="24"/>
      <w:lang w:val="en-GB"/>
    </w:rPr>
  </w:style>
  <w:style w:type="character" w:customStyle="1" w:styleId="Textoindependiente3Car">
    <w:name w:val="Texto independiente 3 Car"/>
    <w:basedOn w:val="Fuentedeprrafopredeter"/>
    <w:link w:val="Textoindependiente3"/>
    <w:uiPriority w:val="99"/>
    <w:rsid w:val="000304B0"/>
    <w:rPr>
      <w:rFonts w:ascii="Arial" w:eastAsia="Arial" w:hAnsi="Arial" w:cs="Arial"/>
      <w:color w:val="002060"/>
      <w:position w:val="-1"/>
      <w:sz w:val="24"/>
      <w:szCs w:val="24"/>
      <w:lang w:val="en-GB"/>
    </w:rPr>
  </w:style>
  <w:style w:type="character" w:styleId="Hipervnculo">
    <w:name w:val="Hyperlink"/>
    <w:basedOn w:val="Fuentedeprrafopredeter"/>
    <w:uiPriority w:val="99"/>
    <w:unhideWhenUsed/>
    <w:rsid w:val="00FF5E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retchen@infomed.sld.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6</Pages>
  <Words>1497</Words>
  <Characters>8537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 Glez Nieto</dc:creator>
  <cp:keywords/>
  <dc:description/>
  <cp:lastModifiedBy>Gret Glez Nieto </cp:lastModifiedBy>
  <cp:revision>11</cp:revision>
  <dcterms:created xsi:type="dcterms:W3CDTF">2022-07-12T15:51:00Z</dcterms:created>
  <dcterms:modified xsi:type="dcterms:W3CDTF">2022-07-12T17:40:00Z</dcterms:modified>
</cp:coreProperties>
</file>